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78" w:rsidRDefault="00386678" w:rsidP="000B705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</w:pPr>
      <w:bookmarkStart w:id="0" w:name="_GoBack"/>
      <w:bookmarkEnd w:id="0"/>
    </w:p>
    <w:p w:rsidR="00386678" w:rsidRPr="00323AAC" w:rsidRDefault="00386678" w:rsidP="000B705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</w:pPr>
      <w:r w:rsidRPr="00323AAC"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>ВІДГУК</w:t>
      </w:r>
    </w:p>
    <w:p w:rsidR="00386678" w:rsidRPr="00323AAC" w:rsidRDefault="00386678" w:rsidP="000B705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</w:pPr>
    </w:p>
    <w:p w:rsidR="00386678" w:rsidRPr="00323AAC" w:rsidRDefault="00386678" w:rsidP="002A2E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  <w:lang w:val="uk-UA"/>
        </w:rPr>
      </w:pPr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офіційного опонента, доктора медичних наук, професора, заслуженого діяча науки і техніки України </w:t>
      </w:r>
      <w:proofErr w:type="spellStart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>Шафрана</w:t>
      </w:r>
      <w:proofErr w:type="spellEnd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 Леоніда Мойсейовича на дисертаційну роботу </w:t>
      </w:r>
      <w:proofErr w:type="spellStart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>Калінічевої</w:t>
      </w:r>
      <w:proofErr w:type="spellEnd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 Вікторії Василівни </w:t>
      </w:r>
      <w:r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на тему: </w:t>
      </w:r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«Гігієнічна оцінка свинцю як фактора ризику розвитку </w:t>
      </w:r>
      <w:proofErr w:type="spellStart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 у населення промислових територій», подану до офіційного захисту у спеціалізовану вчену раду Д 26.604.01 при  ДУ «Інститут громадського здоров’я ім. О.М. </w:t>
      </w:r>
      <w:proofErr w:type="spellStart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>Марзєєва</w:t>
      </w:r>
      <w:proofErr w:type="spellEnd"/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 НАМНУ» на здобуття наукового ступеня кандидата медичних наук за спеціальністю</w:t>
      </w:r>
      <w:r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 </w:t>
      </w:r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>14.02.01 – гігієна та професійна патологія</w:t>
      </w:r>
    </w:p>
    <w:p w:rsidR="00386678" w:rsidRPr="00323AAC" w:rsidRDefault="00386678" w:rsidP="002A2E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  <w:lang w:val="uk-UA"/>
        </w:rPr>
      </w:pPr>
    </w:p>
    <w:p w:rsidR="00386678" w:rsidRDefault="00386678" w:rsidP="003861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386678" w:rsidRDefault="00386678" w:rsidP="003861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b/>
          <w:i/>
          <w:sz w:val="28"/>
          <w:szCs w:val="28"/>
          <w:lang w:val="uk-UA"/>
        </w:rPr>
        <w:t>Актуальність теми.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Одинадцять з сімнадцяти завдань, які необхідно вирішувати людству у період до 2030 року за програмою сталого розвитку ООН, безпосередньо включають проблему екологічно і економічно зміненого здоров’я населення і шляхів його ефективного захисту. Ця глобальна міждисциплінарна проблема повинна вирішуватися на світовому, національному, регіональному і локальному рівнях, оскільки вони мають свої пріоритети, особливості, труднощі щодо виконання. Зокрема, для України національні особливості і найбільш актуальні завдання витікають з документу: </w:t>
      </w:r>
      <w:r w:rsidRPr="007434A8">
        <w:rPr>
          <w:rFonts w:ascii="Times New Roman" w:hAnsi="Times New Roman"/>
          <w:sz w:val="28"/>
          <w:szCs w:val="28"/>
          <w:lang w:val="uk-UA"/>
        </w:rPr>
        <w:t>“</w:t>
      </w:r>
      <w:r w:rsidRPr="00A51EA9">
        <w:rPr>
          <w:rFonts w:ascii="Times New Roman" w:hAnsi="Times New Roman"/>
          <w:sz w:val="28"/>
          <w:szCs w:val="28"/>
          <w:lang w:val="en-US"/>
        </w:rPr>
        <w:t>Sustainable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Development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Goals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A51EA9">
        <w:rPr>
          <w:rFonts w:ascii="Times New Roman" w:hAnsi="Times New Roman"/>
          <w:sz w:val="28"/>
          <w:szCs w:val="28"/>
          <w:lang w:val="en-US"/>
        </w:rPr>
        <w:t>Ukraine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gramStart"/>
      <w:r w:rsidRPr="00A51EA9">
        <w:rPr>
          <w:rFonts w:ascii="Times New Roman" w:hAnsi="Times New Roman"/>
          <w:sz w:val="28"/>
          <w:szCs w:val="28"/>
          <w:lang w:val="en-US"/>
        </w:rPr>
        <w:t>National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baseline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report</w:t>
      </w:r>
      <w:r w:rsidRPr="007434A8">
        <w:rPr>
          <w:rFonts w:ascii="Times New Roman" w:hAnsi="Times New Roman"/>
          <w:sz w:val="28"/>
          <w:szCs w:val="28"/>
          <w:lang w:val="uk-UA"/>
        </w:rPr>
        <w:t>”, 2017.</w:t>
      </w:r>
      <w:proofErr w:type="gramEnd"/>
      <w:r w:rsidRPr="007434A8">
        <w:rPr>
          <w:rFonts w:ascii="Times New Roman" w:hAnsi="Times New Roman"/>
          <w:sz w:val="28"/>
          <w:szCs w:val="28"/>
          <w:lang w:val="uk-UA"/>
        </w:rPr>
        <w:t xml:space="preserve"> – К.: </w:t>
      </w:r>
      <w:proofErr w:type="gramStart"/>
      <w:r w:rsidRPr="00A51EA9">
        <w:rPr>
          <w:rFonts w:ascii="Times New Roman" w:hAnsi="Times New Roman"/>
          <w:sz w:val="28"/>
          <w:szCs w:val="28"/>
          <w:lang w:val="en-US"/>
        </w:rPr>
        <w:t>Ministry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of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economic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development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and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trade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of</w:t>
      </w:r>
      <w:r w:rsidRPr="007434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1EA9">
        <w:rPr>
          <w:rFonts w:ascii="Times New Roman" w:hAnsi="Times New Roman"/>
          <w:sz w:val="28"/>
          <w:szCs w:val="28"/>
          <w:lang w:val="en-US"/>
        </w:rPr>
        <w:t>Ukraine</w:t>
      </w:r>
      <w:r w:rsidRPr="00323AAC">
        <w:rPr>
          <w:rFonts w:ascii="Times New Roman" w:hAnsi="Times New Roman"/>
          <w:sz w:val="28"/>
          <w:szCs w:val="28"/>
          <w:lang w:val="uk-UA"/>
        </w:rPr>
        <w:t>, 2017.</w:t>
      </w:r>
      <w:proofErr w:type="gramEnd"/>
      <w:r w:rsidRPr="00323AAC">
        <w:rPr>
          <w:rFonts w:ascii="Times New Roman" w:hAnsi="Times New Roman"/>
          <w:sz w:val="28"/>
          <w:szCs w:val="28"/>
          <w:lang w:val="uk-UA"/>
        </w:rPr>
        <w:t xml:space="preserve"> – 85 р. У їх вирішенні медичній науці, її профілактичному напрямку належить важлива роль.</w:t>
      </w:r>
      <w:r w:rsidRPr="00C0664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86678" w:rsidRPr="00323AAC" w:rsidRDefault="00386678" w:rsidP="003861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 xml:space="preserve">Саме в такому контексті слід розглядати актуальність дисертаційної роботи В.В.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Калінічевої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>, яка може бути аргументована щонайменше 5 положеннями:</w:t>
      </w:r>
    </w:p>
    <w:p w:rsidR="00386678" w:rsidRPr="00323AAC" w:rsidRDefault="00386678" w:rsidP="00BF21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екогігієнічна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роль свинцю – новий регіональний аспект;</w:t>
      </w:r>
    </w:p>
    <w:p w:rsidR="00386678" w:rsidRPr="00323AAC" w:rsidRDefault="00386678" w:rsidP="00BF21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>- аліментарний шлях у реалізації токсичності свинцю, взаємозалежність з іншими важкими металами – важливий часовий аспект;</w:t>
      </w:r>
    </w:p>
    <w:p w:rsidR="00386678" w:rsidRPr="00323AAC" w:rsidRDefault="00386678" w:rsidP="00BF21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 xml:space="preserve">- порівняльна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біодоступність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і мікроелементів для організму людини в умовах різного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еконавантаження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>: співвідношення оперативного (кров) і тривалого (кісткова тканина) розподілу та кумулятивного накопичення;</w:t>
      </w:r>
    </w:p>
    <w:p w:rsidR="00386678" w:rsidRPr="00323AAC" w:rsidRDefault="00386678" w:rsidP="00BF21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lastRenderedPageBreak/>
        <w:t xml:space="preserve">- особливості механізму змін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і мікроелементного складу кісткової тканини на експериментальній моделі;</w:t>
      </w:r>
    </w:p>
    <w:p w:rsidR="00386678" w:rsidRPr="00323AAC" w:rsidRDefault="00386678" w:rsidP="00BF21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>- епідеміологія захворювань</w:t>
      </w:r>
      <w:r w:rsidRPr="00C0664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/>
          <w:sz w:val="28"/>
          <w:szCs w:val="28"/>
          <w:lang w:val="uk-UA"/>
        </w:rPr>
        <w:t>кістково-м</w:t>
      </w:r>
      <w:r w:rsidRPr="00C06646">
        <w:rPr>
          <w:rFonts w:ascii="Times New Roman" w:hAnsi="Times New Roman"/>
          <w:sz w:val="28"/>
          <w:szCs w:val="28"/>
          <w:lang w:val="uk-UA"/>
        </w:rPr>
        <w:t>’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язової системи населення Дніпропетровської області – важливий регіональний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екогігієнічний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аспект з виходом у профілактику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в промислових регіонах, взагалі.</w:t>
      </w:r>
    </w:p>
    <w:p w:rsidR="00386678" w:rsidRPr="00323AAC" w:rsidRDefault="00386678" w:rsidP="00BF21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ab/>
        <w:t>Важко</w:t>
      </w:r>
      <w:r w:rsidRPr="00C0664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 багато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 для однієї дисертації, але, забігаючи вперед, з усією </w:t>
      </w:r>
      <w:r>
        <w:rPr>
          <w:rFonts w:ascii="Times New Roman" w:hAnsi="Times New Roman"/>
          <w:sz w:val="28"/>
          <w:szCs w:val="28"/>
          <w:lang w:val="uk-UA"/>
        </w:rPr>
        <w:t xml:space="preserve">відповідальністю 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констатуємо, що здобувачеві це вдалося у повній мірі. Дисертаційна робота В.В.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Калінічевої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є актуальною, оскільки одержані автором дані дають можливість поглибити розуміння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екогігієнічних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механізмів та закономірностей розвитку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серед населення регіонів з високим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антропогенно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зумовленим навантаженням свинцем та містить рекомендації щодо шляхів </w:t>
      </w:r>
      <w:r>
        <w:rPr>
          <w:rFonts w:ascii="Times New Roman" w:hAnsi="Times New Roman"/>
          <w:sz w:val="28"/>
          <w:szCs w:val="28"/>
          <w:lang w:val="uk-UA"/>
        </w:rPr>
        <w:t xml:space="preserve">підвищення потенціалу здоров’я і </w:t>
      </w:r>
      <w:r w:rsidRPr="00323AAC">
        <w:rPr>
          <w:rFonts w:ascii="Times New Roman" w:hAnsi="Times New Roman"/>
          <w:sz w:val="28"/>
          <w:szCs w:val="28"/>
          <w:lang w:val="uk-UA"/>
        </w:rPr>
        <w:t>оздоровлення довкілля.</w:t>
      </w:r>
    </w:p>
    <w:p w:rsidR="00386678" w:rsidRDefault="00386678" w:rsidP="003861FA">
      <w:pPr>
        <w:spacing w:after="0" w:line="360" w:lineRule="auto"/>
        <w:ind w:firstLine="539"/>
        <w:jc w:val="both"/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</w:pPr>
    </w:p>
    <w:p w:rsidR="00386678" w:rsidRPr="00323AAC" w:rsidRDefault="00386678" w:rsidP="003861FA">
      <w:pPr>
        <w:spacing w:after="0" w:line="360" w:lineRule="auto"/>
        <w:ind w:firstLine="539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323AAC"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 xml:space="preserve">Зв’язок роботи з науковими програмами, планами, </w:t>
      </w:r>
      <w:proofErr w:type="spellStart"/>
      <w:r w:rsidRPr="00323AAC"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>темами.</w:t>
      </w:r>
      <w:r w:rsidRPr="00323AAC">
        <w:rPr>
          <w:rStyle w:val="1"/>
          <w:rFonts w:ascii="Times New Roman" w:eastAsia="Calibri" w:hAnsi="Times New Roman"/>
          <w:b/>
          <w:color w:val="000000"/>
          <w:sz w:val="28"/>
          <w:szCs w:val="28"/>
          <w:lang w:eastAsia="uk-UA"/>
        </w:rPr>
        <w:t>Зв’язок</w:t>
      </w:r>
      <w:proofErr w:type="spellEnd"/>
      <w:r w:rsidRPr="00323AAC">
        <w:rPr>
          <w:rStyle w:val="1"/>
          <w:rFonts w:ascii="Times New Roman" w:eastAsia="Calibri" w:hAnsi="Times New Roman"/>
          <w:b/>
          <w:color w:val="000000"/>
          <w:sz w:val="28"/>
          <w:szCs w:val="28"/>
          <w:lang w:eastAsia="uk-UA"/>
        </w:rPr>
        <w:t xml:space="preserve"> роботи з науковими програмами, планами, темами. </w:t>
      </w:r>
      <w:r w:rsidRPr="00323AAC">
        <w:rPr>
          <w:rStyle w:val="1"/>
          <w:rFonts w:ascii="Times New Roman" w:eastAsia="Calibri" w:hAnsi="Times New Roman"/>
          <w:color w:val="000000"/>
          <w:sz w:val="28"/>
          <w:szCs w:val="28"/>
          <w:lang w:eastAsia="uk-UA"/>
        </w:rPr>
        <w:t xml:space="preserve">Дисертаційна робота виконана в Державному закладі «Дніпропетровська медична академія Міністерства охорони здоров’я України» 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в рамках науково-дослідної роботи кафедри загальної гігієни: «Гігієнічна діагностика формування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екологозалежних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мікроелементозів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у населення промислового регіону та їх профілактика» (№ 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держреєстрації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0114U005582), </w:t>
      </w: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в якій автор був співвиконавцем.</w:t>
      </w:r>
    </w:p>
    <w:p w:rsidR="00386678" w:rsidRDefault="00386678" w:rsidP="00AC0A4D">
      <w:pPr>
        <w:spacing w:line="360" w:lineRule="auto"/>
        <w:ind w:firstLine="567"/>
        <w:jc w:val="both"/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</w:pPr>
    </w:p>
    <w:p w:rsidR="00386678" w:rsidRDefault="00386678" w:rsidP="00A51EA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 w:rsidRPr="00323AAC"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 xml:space="preserve">Ступінь обґрунтованості наукових положень, висновків та рекомендацій, сформульованих у дисертації. </w:t>
      </w:r>
      <w:r w:rsidRPr="00323AAC">
        <w:rPr>
          <w:rFonts w:ascii="TimesNewRomanPS-BoldMT" w:hAnsi="TimesNewRomanPS-BoldMT" w:cs="TimesNewRomanPS-BoldMT"/>
          <w:bCs/>
          <w:sz w:val="28"/>
          <w:szCs w:val="28"/>
          <w:lang w:val="uk-UA"/>
        </w:rPr>
        <w:t xml:space="preserve">Провідним науковим положенням дослідження є доведена 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роль свинцю як фактора ризику у формуванні порушення мінеральної щільності кісткової тканини і розвитку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у населення екологічно кризового регіону за двома провідними механізмами: безпосередня дія свинцю як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остеотропного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екотоксиканта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на кісткову тканину, і опосередкований вплив через аліментарний дефіцит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lastRenderedPageBreak/>
        <w:t>остеоасоційованих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ессенціальних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та мікроелементів. Для їх встановлення автором було проведено комплекс гігієнічних, клінічних, епідеміологічних та експериментальних досліджень на основі обґрунтованої та побудованої </w:t>
      </w:r>
      <w:r>
        <w:rPr>
          <w:rFonts w:ascii="Times New Roman" w:hAnsi="Times New Roman"/>
          <w:sz w:val="28"/>
          <w:szCs w:val="28"/>
          <w:lang w:val="uk-UA"/>
        </w:rPr>
        <w:t>ни</w:t>
      </w:r>
      <w:r w:rsidRPr="00323AAC">
        <w:rPr>
          <w:rFonts w:ascii="Times New Roman" w:hAnsi="Times New Roman"/>
          <w:sz w:val="28"/>
          <w:szCs w:val="28"/>
          <w:lang w:val="uk-UA"/>
        </w:rPr>
        <w:t>м детальної логістичної схеми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/>
          <w:sz w:val="28"/>
          <w:szCs w:val="28"/>
          <w:lang w:val="uk-UA"/>
        </w:rPr>
        <w:t>(дизайну дослідження), яка послідовно втілена за 5 органічно поєднаними етапами.</w:t>
      </w:r>
      <w:r w:rsidRPr="00323AAC">
        <w:rPr>
          <w:rFonts w:ascii="Times New Roman" w:hAnsi="Times New Roman"/>
          <w:sz w:val="28"/>
          <w:lang w:val="uk-UA"/>
        </w:rPr>
        <w:t xml:space="preserve"> </w:t>
      </w:r>
    </w:p>
    <w:p w:rsidR="00386678" w:rsidRDefault="00386678" w:rsidP="00E325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lang w:val="uk-UA"/>
        </w:rPr>
        <w:t xml:space="preserve">Важливою складовою вивчення повноцінності фактичного харчування населення є </w:t>
      </w:r>
      <w:proofErr w:type="spellStart"/>
      <w:r w:rsidRPr="00323AAC">
        <w:rPr>
          <w:rFonts w:ascii="Times New Roman" w:hAnsi="Times New Roman"/>
          <w:sz w:val="28"/>
          <w:lang w:val="uk-UA"/>
        </w:rPr>
        <w:t>ф</w:t>
      </w:r>
      <w:r w:rsidRPr="00323AAC">
        <w:rPr>
          <w:rFonts w:ascii="Times New Roman" w:hAnsi="Times New Roman"/>
          <w:sz w:val="28"/>
          <w:szCs w:val="28"/>
          <w:lang w:val="uk-UA"/>
        </w:rPr>
        <w:t>ізіолого-гігієнічний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аналіз середньодобового набору харчових продуктів. Принципове значення мав вибір в якості об’єктів дослідження серед населення одного з найбільш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техногенно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навантажених промислових міст України – Дніпро та контрольного - місто Новомосковськ; сформовані 6 груп спостереження серед мешканців промислової та контрольної територій за віковими особливостями та </w:t>
      </w:r>
      <w:r w:rsidRPr="00323AAC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гендерними відмінностями, </w:t>
      </w:r>
      <w:r w:rsidRPr="00323AAC">
        <w:rPr>
          <w:rFonts w:ascii="Times New Roman" w:hAnsi="Times New Roman"/>
          <w:sz w:val="28"/>
          <w:szCs w:val="28"/>
          <w:lang w:val="uk-UA"/>
        </w:rPr>
        <w:t>що мешкають не менше 5 років в даному місті (255 респондентів – вибірка статистично значуща)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Проведено </w:t>
      </w:r>
      <w:r w:rsidRPr="00323AAC">
        <w:rPr>
          <w:rFonts w:ascii="Times New Roman" w:hAnsi="Times New Roman"/>
          <w:sz w:val="28"/>
          <w:szCs w:val="28"/>
          <w:lang w:val="uk-UA"/>
        </w:rPr>
        <w:t>вивчення фактичних раціонів харчування анкетно-опитувальним методом з використанням спеціально розробленої «Карти-схеми» з чіткою вказівкою в анкетах ваги всіх блюд та продуктів, що споживаються людиною протягом доби</w:t>
      </w:r>
      <w:r>
        <w:rPr>
          <w:rFonts w:ascii="Times New Roman" w:hAnsi="Times New Roman"/>
          <w:sz w:val="28"/>
          <w:szCs w:val="28"/>
          <w:lang w:val="uk-UA"/>
        </w:rPr>
        <w:t>. Автором розроблено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 алгоритм клініко-гігієнічних досліджень у взаємодії з клініцистами</w:t>
      </w:r>
      <w:r>
        <w:rPr>
          <w:rFonts w:ascii="Times New Roman" w:hAnsi="Times New Roman"/>
          <w:sz w:val="28"/>
          <w:szCs w:val="28"/>
          <w:lang w:val="uk-UA"/>
        </w:rPr>
        <w:t xml:space="preserve">, що надало роботі характер комплексного масштабного дослідження. Важливе місце справедливо відведено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лонгітудинальним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/>
          <w:sz w:val="28"/>
          <w:szCs w:val="28"/>
          <w:lang w:val="uk-UA"/>
        </w:rPr>
        <w:t>епідеміологічн</w:t>
      </w:r>
      <w:r>
        <w:rPr>
          <w:rFonts w:ascii="Times New Roman" w:hAnsi="Times New Roman"/>
          <w:sz w:val="28"/>
          <w:szCs w:val="28"/>
          <w:lang w:val="uk-UA"/>
        </w:rPr>
        <w:t>им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 дослідження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 захворюваності опорно-рухового апарату </w:t>
      </w:r>
      <w:r w:rsidRPr="00323AAC">
        <w:rPr>
          <w:rStyle w:val="a3"/>
          <w:rFonts w:ascii="Times New Roman" w:eastAsia="Calibri" w:hAnsi="Times New Roman"/>
          <w:sz w:val="28"/>
          <w:szCs w:val="28"/>
          <w:lang w:eastAsia="uk-UA"/>
        </w:rPr>
        <w:t>дорослого населення</w:t>
      </w:r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з урахуванням гендерних особливостей мешканців </w:t>
      </w:r>
      <w:r w:rsidRPr="00323AAC">
        <w:rPr>
          <w:rStyle w:val="a3"/>
          <w:rFonts w:ascii="Times New Roman" w:eastAsia="Calibri" w:hAnsi="Times New Roman"/>
          <w:sz w:val="28"/>
          <w:szCs w:val="28"/>
          <w:lang w:eastAsia="uk-UA"/>
        </w:rPr>
        <w:t>промислового</w:t>
      </w:r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та</w:t>
      </w:r>
      <w:r w:rsidRPr="00323AAC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контрольного міст</w:t>
      </w:r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, а також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Дніпропетровської області </w:t>
      </w:r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в цілому 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>протягом п’ятирічного періоду, з послідуючим усередненням отриманих показників</w:t>
      </w:r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.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</w:t>
      </w:r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Н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аявність у 8,9% зареєстрованих хворих (генеральна сукупність) ознак </w:t>
      </w:r>
      <w:proofErr w:type="spellStart"/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>остеопатії</w:t>
      </w:r>
      <w:proofErr w:type="spellEnd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підтверджує важливість вивчення патогенетичних механізмів та </w:t>
      </w:r>
      <w:proofErr w:type="spellStart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еконгігієнічних</w:t>
      </w:r>
      <w:proofErr w:type="spellEnd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предикторів</w:t>
      </w:r>
      <w:proofErr w:type="spellEnd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, запускають адаптивні / </w:t>
      </w:r>
      <w:proofErr w:type="spellStart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дезадаптивні</w:t>
      </w:r>
      <w:proofErr w:type="spellEnd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процеси в організмі з переходом у системну патологію.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</w:t>
      </w:r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П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роведення експериментальних досліджень на білих щурах лінії </w:t>
      </w:r>
      <w:proofErr w:type="spellStart"/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>Вістар</w:t>
      </w:r>
      <w:proofErr w:type="spellEnd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поглиблює наші знання закономірностей розвитку </w:t>
      </w:r>
      <w:proofErr w:type="spellStart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остеопатії</w:t>
      </w:r>
      <w:proofErr w:type="spellEnd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 на перших стадіях </w:t>
      </w:r>
      <w:proofErr w:type="spellStart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дизмікроелементозу</w:t>
      </w:r>
      <w:proofErr w:type="spellEnd"/>
      <w:r>
        <w:rPr>
          <w:rStyle w:val="a3"/>
          <w:rFonts w:ascii="Times New Roman" w:eastAsia="Calibri" w:hAnsi="Times New Roman"/>
          <w:sz w:val="28"/>
          <w:szCs w:val="28"/>
          <w:lang w:eastAsia="uk-UA"/>
        </w:rPr>
        <w:t>. Автором розгорнуто широкомасштабне полотно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t xml:space="preserve">: 6 груп </w:t>
      </w:r>
      <w:r w:rsidRPr="00EF5D6D">
        <w:rPr>
          <w:rStyle w:val="a3"/>
          <w:rFonts w:ascii="Times New Roman" w:eastAsia="Calibri" w:hAnsi="Times New Roman"/>
          <w:sz w:val="28"/>
          <w:szCs w:val="28"/>
          <w:lang w:eastAsia="uk-UA"/>
        </w:rPr>
        <w:lastRenderedPageBreak/>
        <w:t xml:space="preserve">тварин, яким вводили </w:t>
      </w:r>
      <w:r w:rsidRPr="00EF5D6D">
        <w:rPr>
          <w:rFonts w:ascii="Times New Roman" w:hAnsi="Times New Roman"/>
          <w:sz w:val="28"/>
          <w:szCs w:val="28"/>
          <w:lang w:val="uk-UA"/>
        </w:rPr>
        <w:t>ацетат свинцю близько 1/ 30000 LD</w:t>
      </w:r>
      <w:r w:rsidRPr="00EF5D6D">
        <w:rPr>
          <w:rFonts w:ascii="Times New Roman" w:hAnsi="Times New Roman"/>
          <w:sz w:val="28"/>
          <w:szCs w:val="28"/>
          <w:vertAlign w:val="subscript"/>
          <w:lang w:val="uk-UA"/>
        </w:rPr>
        <w:t>50,</w:t>
      </w:r>
      <w:r w:rsidRPr="00EF5D6D">
        <w:rPr>
          <w:rFonts w:ascii="Times New Roman" w:hAnsi="Times New Roman"/>
          <w:sz w:val="28"/>
          <w:szCs w:val="28"/>
          <w:lang w:val="uk-UA"/>
        </w:rPr>
        <w:t xml:space="preserve"> що відповідає 0,05 мг/кг маси тіла, який вводили ізольовано (друга дослідна група), та в комбінації з хлоридом цинку в дозі 1,5 мг/кг маси тіла (п’ята дослідна група), та з цитратом цинку в дозі 1,5 мг/кг (шоста дослідна група). Дозу хлориду цинку – 1,5 мг/кг маси тіла (друга дослідна група), цитрату цинку – 1,5 мг/кг маси тіла (третя дослідна група) та цитрату свинцю – 0,05 мг/кг маси тіла (сьома дослідна група) вводили ізольовано. </w:t>
      </w:r>
    </w:p>
    <w:p w:rsidR="00386678" w:rsidRPr="00EF5D6D" w:rsidRDefault="00386678" w:rsidP="00E3253F">
      <w:pPr>
        <w:spacing w:after="0" w:line="360" w:lineRule="auto"/>
        <w:ind w:firstLine="567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EF5D6D">
        <w:rPr>
          <w:rFonts w:ascii="Times New Roman" w:hAnsi="Times New Roman"/>
          <w:sz w:val="28"/>
          <w:szCs w:val="28"/>
          <w:lang w:val="uk-UA"/>
        </w:rPr>
        <w:t xml:space="preserve">Для обґрунтованості результатів комплексного гігієнічного аналізу важливими є також дані щодо оцінки мінеральної щільності кісткової тканини методом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остеоденситометрії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двоенергетичної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 рентгенівської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абсорбціометрії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) за рекомендованими ВООЗ показниками МЩК і Т-критерієм. </w:t>
      </w:r>
      <w:r w:rsidRPr="00EF5D6D">
        <w:rPr>
          <w:rFonts w:ascii="Times New Roman" w:eastAsia="TimesNewRomanPSMT" w:hAnsi="Times New Roman"/>
          <w:sz w:val="28"/>
          <w:szCs w:val="28"/>
          <w:lang w:val="uk-UA"/>
        </w:rPr>
        <w:t xml:space="preserve">Отримані результати опрацьовували сучасними статистичними методами після їх перевірки щодо нормального розподілу вибірки </w:t>
      </w:r>
      <w:r w:rsidRPr="00EF5D6D">
        <w:rPr>
          <w:rFonts w:ascii="Times New Roman" w:hAnsi="Times New Roman"/>
          <w:sz w:val="28"/>
          <w:szCs w:val="28"/>
          <w:lang w:val="uk-UA"/>
        </w:rPr>
        <w:t xml:space="preserve">з використанням критеріїв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Колмогорова-Смирнова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Шапіро-Уїлка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, виправленням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Ліллєфорса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; перевіркою рівності дисперсій за допомогою критерію Фішера (F); оцінкою достовірності різниці середніх для кількісних ознак з нормальним розподілом за критерієм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 (t); множинного порівняння з контрольною групою за критерієм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Даннетта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Dunnetttest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); дисперсійного аналізу ANOVA; однорідністю груп. Проводився кореляційний аналіз з розрахунком коефіцієнтів рангової кореляції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Спірмена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 (р), лінійної кореляції </w:t>
      </w:r>
      <w:proofErr w:type="spellStart"/>
      <w:r w:rsidRPr="00EF5D6D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 w:rsidRPr="00EF5D6D">
        <w:rPr>
          <w:rFonts w:ascii="Times New Roman" w:hAnsi="Times New Roman"/>
          <w:sz w:val="28"/>
          <w:szCs w:val="28"/>
          <w:lang w:val="uk-UA"/>
        </w:rPr>
        <w:t xml:space="preserve"> (r); регресійний аналіз з розрахунком множинних (R) і парціальних коефіцієнтів кореляції (r), коефіцієнтів детермінації (R</w:t>
      </w:r>
      <w:r w:rsidRPr="00EF5D6D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EF5D6D">
        <w:rPr>
          <w:rFonts w:ascii="Times New Roman" w:hAnsi="Times New Roman"/>
          <w:sz w:val="28"/>
          <w:szCs w:val="28"/>
          <w:lang w:val="uk-UA"/>
        </w:rPr>
        <w:t>).</w:t>
      </w:r>
    </w:p>
    <w:p w:rsidR="00386678" w:rsidRPr="00323AAC" w:rsidRDefault="00386678" w:rsidP="00E21C2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/>
          <w:sz w:val="28"/>
          <w:szCs w:val="28"/>
          <w:lang w:val="uk-UA"/>
        </w:rPr>
      </w:pP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Таким чином, не викликає сумніву високий ступінь обґрунтованості</w:t>
      </w:r>
    </w:p>
    <w:p w:rsidR="00386678" w:rsidRPr="00323AAC" w:rsidRDefault="00386678" w:rsidP="00E21C2F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  <w:lang w:val="uk-UA"/>
        </w:rPr>
      </w:pP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основних наукових положень, висновків та рекомендацій, сформульованих у</w:t>
      </w:r>
    </w:p>
    <w:p w:rsidR="00386678" w:rsidRPr="00323AAC" w:rsidRDefault="00386678" w:rsidP="00E21C2F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  <w:lang w:val="uk-UA"/>
        </w:rPr>
      </w:pP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дисертації В.В.</w:t>
      </w:r>
      <w:proofErr w:type="spellStart"/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Калінічевої</w:t>
      </w:r>
      <w:proofErr w:type="spellEnd"/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,  відповідність її дисертаційної роботи паспорту спеціальності 14.02.01 – гігієна та професійна патологія.</w:t>
      </w:r>
    </w:p>
    <w:p w:rsidR="00386678" w:rsidRDefault="00386678" w:rsidP="00014F4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/>
          <w:b/>
          <w:bCs/>
          <w:sz w:val="28"/>
          <w:szCs w:val="28"/>
          <w:lang w:val="uk-UA"/>
        </w:rPr>
      </w:pPr>
    </w:p>
    <w:p w:rsidR="00386678" w:rsidRPr="00323AAC" w:rsidRDefault="00386678" w:rsidP="00014F4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/>
          <w:bCs/>
          <w:sz w:val="28"/>
          <w:szCs w:val="28"/>
          <w:lang w:val="uk-UA"/>
        </w:rPr>
      </w:pPr>
      <w:r w:rsidRPr="00323AAC">
        <w:rPr>
          <w:rFonts w:ascii="Times New Roman" w:eastAsia="TimesNewRomanPSMT" w:hAnsi="Times New Roman"/>
          <w:b/>
          <w:bCs/>
          <w:sz w:val="28"/>
          <w:szCs w:val="28"/>
          <w:lang w:val="uk-UA"/>
        </w:rPr>
        <w:t xml:space="preserve">Наукова новизна одержаних результатів </w:t>
      </w:r>
      <w:r w:rsidRPr="00323AAC">
        <w:rPr>
          <w:rFonts w:ascii="Times New Roman" w:eastAsia="TimesNewRomanPSMT" w:hAnsi="Times New Roman"/>
          <w:bCs/>
          <w:sz w:val="28"/>
          <w:szCs w:val="28"/>
          <w:lang w:val="uk-UA"/>
        </w:rPr>
        <w:t>полягає в тому, що</w:t>
      </w:r>
      <w:r>
        <w:rPr>
          <w:rFonts w:ascii="Times New Roman" w:eastAsia="TimesNewRomanPSMT" w:hAnsi="Times New Roman"/>
          <w:bCs/>
          <w:sz w:val="28"/>
          <w:szCs w:val="28"/>
          <w:lang w:val="uk-UA"/>
        </w:rPr>
        <w:t xml:space="preserve"> </w:t>
      </w:r>
      <w:r w:rsidRPr="00323AAC">
        <w:rPr>
          <w:rFonts w:ascii="Times New Roman" w:eastAsia="TimesNewRomanPSMT" w:hAnsi="Times New Roman"/>
          <w:bCs/>
          <w:sz w:val="28"/>
          <w:szCs w:val="28"/>
          <w:lang w:val="uk-UA"/>
        </w:rPr>
        <w:t xml:space="preserve">дисертант В.В. </w:t>
      </w:r>
      <w:proofErr w:type="spellStart"/>
      <w:r w:rsidRPr="00323AAC">
        <w:rPr>
          <w:rFonts w:ascii="Times New Roman" w:eastAsia="TimesNewRomanPSMT" w:hAnsi="Times New Roman"/>
          <w:bCs/>
          <w:sz w:val="28"/>
          <w:szCs w:val="28"/>
          <w:lang w:val="uk-UA"/>
        </w:rPr>
        <w:t>Калінічева</w:t>
      </w:r>
      <w:proofErr w:type="spellEnd"/>
      <w:r w:rsidRPr="00323AAC">
        <w:rPr>
          <w:rFonts w:ascii="Times New Roman" w:eastAsia="TimesNewRomanPSMT" w:hAnsi="Times New Roman"/>
          <w:bCs/>
          <w:sz w:val="28"/>
          <w:szCs w:val="28"/>
          <w:lang w:val="uk-UA"/>
        </w:rPr>
        <w:t>:</w:t>
      </w:r>
    </w:p>
    <w:p w:rsidR="00386678" w:rsidRPr="00323AAC" w:rsidRDefault="00386678" w:rsidP="00DB237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lastRenderedPageBreak/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/>
          <w:sz w:val="28"/>
          <w:szCs w:val="28"/>
          <w:lang w:val="uk-UA"/>
        </w:rPr>
        <w:t xml:space="preserve">встановила роль свинцю як фактора ризику у формуванні порушення мінеральної щільності кісткової тканини і розвитку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у населення екологічно кризового регіону на підставі гігієнічних, клінічних, епідеміологічних та експериментальних досліджень;</w:t>
      </w:r>
    </w:p>
    <w:p w:rsidR="00386678" w:rsidRPr="00323AAC" w:rsidRDefault="00386678" w:rsidP="00626A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 xml:space="preserve">- довела, що в механізмі розвитку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має місце не тільки безпосередня дія свинцю, як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остеотропного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контамінанта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, на кісткову тканину, але й опосередкований вплив через аліментарний дефіцит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остеоасоційованих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ессенціальних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та мікроелементів;</w:t>
      </w:r>
    </w:p>
    <w:p w:rsidR="00386678" w:rsidRPr="00323AAC" w:rsidRDefault="00386678" w:rsidP="00626A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 xml:space="preserve">- показала, що в реальних умовах низькодозовий вплив свинцю на кісткову тканину має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ушкоджуючу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дію, яка пов'язана як з безпосереднім його впливом, так і з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біоантагонізмом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біотичних та абіотичних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та мікроелементів між собою;</w:t>
      </w:r>
    </w:p>
    <w:p w:rsidR="00386678" w:rsidRPr="00323AAC" w:rsidRDefault="00386678" w:rsidP="00626A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>- уточнила закономірності механізму впливу важких металів, зокрема свинцю, на мінеральний склад кісткової тканини людини, що мешкає в умовах техногенного навантаження, а також експериментальних тварин;</w:t>
      </w:r>
    </w:p>
    <w:p w:rsidR="00386678" w:rsidRPr="00323AAC" w:rsidRDefault="00386678" w:rsidP="00626A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 xml:space="preserve">- довела, що розвиток екологічно детермінованого дисбалансу біотичних та абіотичних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та мікроелементів у кістковій тканині мешканців промислового міста кореспондується з аналогічними результатами лабораторного експерименту на щурах;</w:t>
      </w:r>
    </w:p>
    <w:p w:rsidR="00386678" w:rsidRPr="00323AAC" w:rsidRDefault="00386678" w:rsidP="00626A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sz w:val="28"/>
          <w:szCs w:val="28"/>
          <w:lang w:val="uk-UA"/>
        </w:rPr>
        <w:t>- виявила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техногенно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пов'язану залежність щільності кісткової тканини жителів промислового міста за рекомендованими ВООЗ </w:t>
      </w:r>
      <w:proofErr w:type="spellStart"/>
      <w:r w:rsidRPr="00323AAC">
        <w:rPr>
          <w:rFonts w:ascii="Times New Roman" w:hAnsi="Times New Roman"/>
          <w:sz w:val="28"/>
          <w:szCs w:val="28"/>
          <w:lang w:val="uk-UA"/>
        </w:rPr>
        <w:t>денсиметричними</w:t>
      </w:r>
      <w:proofErr w:type="spellEnd"/>
      <w:r w:rsidRPr="00323AAC">
        <w:rPr>
          <w:rFonts w:ascii="Times New Roman" w:hAnsi="Times New Roman"/>
          <w:sz w:val="28"/>
          <w:szCs w:val="28"/>
          <w:lang w:val="uk-UA"/>
        </w:rPr>
        <w:t xml:space="preserve"> показниками МЩК та Т-критерію зі ступенем техногенного забруднення довкілля.</w:t>
      </w:r>
    </w:p>
    <w:p w:rsidR="00386678" w:rsidRDefault="00386678" w:rsidP="00DB2379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23AA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ab/>
      </w:r>
    </w:p>
    <w:p w:rsidR="00386678" w:rsidRPr="00323AAC" w:rsidRDefault="00386678" w:rsidP="00DB2379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ab/>
      </w:r>
      <w:r w:rsidRPr="00323AA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Практична цінність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одержаних В.В.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Калінічевою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результатів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 полягає в тому, що вона:</w:t>
      </w:r>
    </w:p>
    <w:p w:rsidR="00386678" w:rsidRPr="00323AAC" w:rsidRDefault="00386678" w:rsidP="00014F4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обґрунтувала та 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сформу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лю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вала систему оцінки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модифікуюючих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факторів ризику розвитку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мешканців </w:t>
      </w:r>
      <w:r w:rsidRPr="00323AAC">
        <w:rPr>
          <w:rFonts w:ascii="Times New Roman" w:hAnsi="Times New Roman" w:cs="Times New Roman"/>
          <w:sz w:val="28"/>
          <w:szCs w:val="28"/>
          <w:lang w:val="uk-UA"/>
        </w:rPr>
        <w:t>екологічно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 w:cs="Times New Roman"/>
          <w:sz w:val="28"/>
          <w:szCs w:val="28"/>
          <w:lang w:val="uk-UA"/>
        </w:rPr>
        <w:t xml:space="preserve">кризових 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територій;</w:t>
      </w:r>
    </w:p>
    <w:p w:rsidR="00386678" w:rsidRPr="00323AAC" w:rsidRDefault="00386678" w:rsidP="00014F4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запропонувала підходи до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донозологічної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діагностики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остеопатій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основі взаємозв’язків у площині: «свинець – продукти харчування 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остеоасоційовані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мікроелементи – кісткова тканина»;</w:t>
      </w:r>
    </w:p>
    <w:p w:rsidR="00386678" w:rsidRPr="00323AAC" w:rsidRDefault="00386678" w:rsidP="00014F4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започаткувала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комплексну систему попередження розвитку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остепатій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населення промислового регіону, яка спрямована на головні ланки первинної, вторинної і третинної профілактики, для впровадження </w:t>
      </w:r>
      <w:r w:rsidRPr="00323AAC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законодавчому, технічному, санітарно-гігієнічному та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медико-біологічному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рівнях.</w:t>
      </w:r>
    </w:p>
    <w:p w:rsidR="00386678" w:rsidRPr="00323AAC" w:rsidRDefault="00386678" w:rsidP="00014F4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розширила методичні підходи до діагностики і прогнозування порушень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макро-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мікроелементного складу кісткової тканини та розвитку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остеопатій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населення.</w:t>
      </w:r>
    </w:p>
    <w:p w:rsidR="00386678" w:rsidRPr="00323AAC" w:rsidRDefault="00386678" w:rsidP="00014F4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 результатами досліджень розробила методичні рекомендації «Профілактика розвитку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елементозів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населення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техногенно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забруднених територій», м. Дніпро, 2018 р., затверджені Вченою Радою </w:t>
      </w:r>
      <w:proofErr w:type="spellStart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ДЗ</w:t>
      </w:r>
      <w:proofErr w:type="spellEnd"/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«ДМА» (витяг з протоколу №5 від 25.01.2018 р.), які видані та </w:t>
      </w:r>
      <w:r w:rsidRPr="00323AAC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впроваджені </w:t>
      </w:r>
      <w:r w:rsidRPr="00323AAC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роботу закладів охорони здоров’я та науково-педагогічний процес.</w:t>
      </w:r>
    </w:p>
    <w:p w:rsidR="00386678" w:rsidRDefault="00386678" w:rsidP="00323AA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386678" w:rsidRPr="00323AAC" w:rsidRDefault="00386678" w:rsidP="00323AA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23AAC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Структура дисертації. </w:t>
      </w:r>
      <w:r w:rsidRPr="00323AAC">
        <w:rPr>
          <w:rFonts w:ascii="Times New Roman" w:hAnsi="Times New Roman"/>
          <w:color w:val="000000"/>
          <w:sz w:val="28"/>
          <w:szCs w:val="28"/>
          <w:lang w:val="uk-UA"/>
        </w:rPr>
        <w:t xml:space="preserve">Дисертаційна робота </w:t>
      </w: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 xml:space="preserve">побудована 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за </w:t>
      </w: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класичним принципом і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="006E6087">
        <w:rPr>
          <w:rFonts w:ascii="Times New Roman" w:hAnsi="Times New Roman"/>
          <w:color w:val="000000"/>
          <w:sz w:val="28"/>
          <w:szCs w:val="28"/>
          <w:lang w:val="uk-UA"/>
        </w:rPr>
        <w:t>викладена на 223</w:t>
      </w:r>
      <w:r w:rsidRPr="00323AAC">
        <w:rPr>
          <w:rFonts w:ascii="Times New Roman" w:hAnsi="Times New Roman"/>
          <w:color w:val="000000"/>
          <w:sz w:val="28"/>
          <w:szCs w:val="28"/>
          <w:lang w:val="uk-UA"/>
        </w:rPr>
        <w:t xml:space="preserve"> сторінках машинопису, складається з вступу, огляду літератури, розділу «Об'єкти, методи та обсяг досліджень»,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5</w:t>
      </w:r>
      <w:r w:rsidRPr="00323AAC">
        <w:rPr>
          <w:rFonts w:ascii="Times New Roman" w:hAnsi="Times New Roman"/>
          <w:color w:val="000000"/>
          <w:sz w:val="28"/>
          <w:szCs w:val="28"/>
          <w:lang w:val="uk-UA"/>
        </w:rPr>
        <w:t xml:space="preserve"> розділів власних досліджень,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аналізу та узагальнення результатів</w:t>
      </w:r>
      <w:r w:rsidRPr="00323AAC">
        <w:rPr>
          <w:rFonts w:ascii="Times New Roman" w:hAnsi="Times New Roman"/>
          <w:color w:val="000000"/>
          <w:sz w:val="28"/>
          <w:szCs w:val="28"/>
          <w:lang w:val="uk-UA"/>
        </w:rPr>
        <w:t xml:space="preserve">, висновків, додатків. Робота ілюстрована 42 таблицями, 57 рисунками. Бібліографічний показник включає </w:t>
      </w:r>
      <w:r w:rsidRPr="00323AAC">
        <w:rPr>
          <w:rFonts w:ascii="Times New Roman" w:hAnsi="Times New Roman"/>
          <w:sz w:val="28"/>
          <w:szCs w:val="28"/>
          <w:lang w:val="uk-UA"/>
        </w:rPr>
        <w:t>269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3AAC">
        <w:rPr>
          <w:rFonts w:ascii="Times New Roman" w:hAnsi="Times New Roman"/>
          <w:color w:val="000000"/>
          <w:sz w:val="28"/>
          <w:szCs w:val="28"/>
          <w:lang w:val="uk-UA"/>
        </w:rPr>
        <w:t>літературних джерел. Серед них кирилицею – 170 та латиницею – 99.</w:t>
      </w:r>
    </w:p>
    <w:p w:rsidR="00386678" w:rsidRPr="00323AAC" w:rsidRDefault="00386678" w:rsidP="00323AA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323AAC">
        <w:rPr>
          <w:rFonts w:ascii="Times New Roman" w:hAnsi="Times New Roman"/>
          <w:b/>
          <w:bCs/>
          <w:sz w:val="28"/>
          <w:szCs w:val="28"/>
          <w:lang w:val="uk-UA"/>
        </w:rPr>
        <w:t xml:space="preserve">У вступі </w:t>
      </w: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 xml:space="preserve">розкрито актуальність теми дисертаційного дослідження та </w:t>
      </w:r>
      <w:proofErr w:type="spellStart"/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по-</w:t>
      </w:r>
      <w:proofErr w:type="spellEnd"/>
    </w:p>
    <w:p w:rsidR="00386678" w:rsidRPr="00323AAC" w:rsidRDefault="00386678" w:rsidP="00323A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казано зв’язок роботи із науковими програмами, темами і планами. Визначено</w:t>
      </w:r>
    </w:p>
    <w:p w:rsidR="00386678" w:rsidRDefault="00386678" w:rsidP="00323A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 xml:space="preserve">мету, об’єкт, предмет і методи наукового дослідження; наведено дані </w:t>
      </w:r>
      <w:proofErr w:type="spellStart"/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щодонаукової</w:t>
      </w:r>
      <w:proofErr w:type="spellEnd"/>
      <w:r w:rsidRPr="00323AAC">
        <w:rPr>
          <w:rFonts w:ascii="Times New Roman" w:eastAsia="TimesNewRomanPSMT" w:hAnsi="Times New Roman"/>
          <w:sz w:val="28"/>
          <w:szCs w:val="28"/>
          <w:lang w:val="uk-UA"/>
        </w:rPr>
        <w:t xml:space="preserve"> новизни, теоретичного і практичного значення роботи; інформацію про впровадження результатів </w:t>
      </w:r>
      <w:r>
        <w:rPr>
          <w:rFonts w:ascii="Times New Roman" w:eastAsia="TimesNewRomanPSMT" w:hAnsi="Times New Roman"/>
          <w:sz w:val="28"/>
          <w:szCs w:val="28"/>
          <w:lang w:val="uk-UA"/>
        </w:rPr>
        <w:t>в практику</w:t>
      </w:r>
      <w:r w:rsidRPr="00323AAC">
        <w:rPr>
          <w:rFonts w:ascii="Times New Roman" w:eastAsia="TimesNewRomanPSMT" w:hAnsi="Times New Roman"/>
          <w:sz w:val="28"/>
          <w:szCs w:val="28"/>
          <w:lang w:val="uk-UA"/>
        </w:rPr>
        <w:t>; відображено особистий внесок автора у виконання роботи; представлено інформацію щодо апробації результатів та публікацій за результатами дослідження.</w:t>
      </w:r>
    </w:p>
    <w:p w:rsidR="00386678" w:rsidRDefault="00386678" w:rsidP="00DC428F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86678" w:rsidRDefault="00386678" w:rsidP="00DC42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37DB7">
        <w:rPr>
          <w:rFonts w:ascii="Times New Roman" w:hAnsi="Times New Roman"/>
          <w:b/>
          <w:bCs/>
          <w:sz w:val="28"/>
          <w:szCs w:val="28"/>
          <w:lang w:val="uk-UA"/>
        </w:rPr>
        <w:t xml:space="preserve">В аналітичному огляді літератури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(розділ 1) 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розглядаються сучасні </w:t>
      </w:r>
      <w:r>
        <w:rPr>
          <w:rFonts w:ascii="Times New Roman" w:hAnsi="Times New Roman"/>
          <w:sz w:val="28"/>
          <w:szCs w:val="28"/>
          <w:lang w:val="uk-UA"/>
        </w:rPr>
        <w:t>уявле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/>
          <w:sz w:val="28"/>
          <w:szCs w:val="28"/>
          <w:lang w:val="uk-UA"/>
        </w:rPr>
        <w:t>світової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 наук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 щодо негативного впливу свинцю та інших важких </w:t>
      </w:r>
      <w:r w:rsidRPr="00D37DB7">
        <w:rPr>
          <w:rFonts w:ascii="Times New Roman" w:hAnsi="Times New Roman"/>
          <w:sz w:val="28"/>
          <w:szCs w:val="28"/>
          <w:lang w:val="uk-UA"/>
        </w:rPr>
        <w:lastRenderedPageBreak/>
        <w:t>металів та стан кістково-м’язової системи</w:t>
      </w:r>
      <w:r>
        <w:rPr>
          <w:rFonts w:ascii="Times New Roman" w:hAnsi="Times New Roman"/>
          <w:sz w:val="28"/>
          <w:szCs w:val="28"/>
          <w:lang w:val="uk-UA"/>
        </w:rPr>
        <w:t xml:space="preserve"> з позицій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 ризику розвитку порушен</w:t>
      </w:r>
      <w:r>
        <w:rPr>
          <w:rFonts w:ascii="Times New Roman" w:hAnsi="Times New Roman"/>
          <w:sz w:val="28"/>
          <w:szCs w:val="28"/>
          <w:lang w:val="uk-UA"/>
        </w:rPr>
        <w:t xml:space="preserve">ь </w:t>
      </w:r>
      <w:proofErr w:type="spellStart"/>
      <w:r w:rsidRPr="00D37DB7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D37DB7">
        <w:rPr>
          <w:rFonts w:ascii="Times New Roman" w:hAnsi="Times New Roman"/>
          <w:sz w:val="28"/>
          <w:szCs w:val="28"/>
          <w:lang w:val="uk-UA"/>
        </w:rPr>
        <w:t xml:space="preserve"> та мікроелементного балансу, кісткового метаболізму і розвитку </w:t>
      </w:r>
      <w:proofErr w:type="spellStart"/>
      <w:r w:rsidRPr="00D37DB7">
        <w:rPr>
          <w:rFonts w:ascii="Times New Roman" w:hAnsi="Times New Roman"/>
          <w:sz w:val="28"/>
          <w:szCs w:val="28"/>
          <w:lang w:val="uk-UA"/>
        </w:rPr>
        <w:t>остеопат</w:t>
      </w:r>
      <w:r>
        <w:rPr>
          <w:rFonts w:ascii="Times New Roman" w:hAnsi="Times New Roman"/>
          <w:sz w:val="28"/>
          <w:szCs w:val="28"/>
          <w:lang w:val="uk-UA"/>
        </w:rPr>
        <w:t>ій</w:t>
      </w:r>
      <w:proofErr w:type="spellEnd"/>
      <w:r w:rsidRPr="00D37DB7">
        <w:rPr>
          <w:rFonts w:ascii="Times New Roman" w:hAnsi="Times New Roman"/>
          <w:sz w:val="28"/>
          <w:szCs w:val="28"/>
          <w:lang w:val="uk-UA"/>
        </w:rPr>
        <w:t xml:space="preserve">. На основі узагальнених даних літератури </w:t>
      </w:r>
      <w:proofErr w:type="spellStart"/>
      <w:r w:rsidRPr="00D37DB7">
        <w:rPr>
          <w:rFonts w:ascii="Times New Roman" w:hAnsi="Times New Roman"/>
          <w:sz w:val="28"/>
          <w:szCs w:val="28"/>
          <w:lang w:val="uk-UA"/>
        </w:rPr>
        <w:t>обгрунтовано</w:t>
      </w:r>
      <w:proofErr w:type="spellEnd"/>
      <w:r w:rsidRPr="00D37DB7">
        <w:rPr>
          <w:rFonts w:ascii="Times New Roman" w:hAnsi="Times New Roman"/>
          <w:sz w:val="28"/>
          <w:szCs w:val="28"/>
          <w:lang w:val="uk-UA"/>
        </w:rPr>
        <w:t xml:space="preserve"> актуальність обраного напрямку</w:t>
      </w:r>
      <w:r>
        <w:rPr>
          <w:rFonts w:ascii="Times New Roman" w:hAnsi="Times New Roman"/>
          <w:sz w:val="28"/>
          <w:szCs w:val="28"/>
          <w:lang w:val="uk-UA"/>
        </w:rPr>
        <w:t xml:space="preserve"> досліджень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 та необхідність визначення основних особливостей впливу свинцю на рівень </w:t>
      </w:r>
      <w:proofErr w:type="spellStart"/>
      <w:r w:rsidRPr="00D37DB7">
        <w:rPr>
          <w:rFonts w:ascii="Times New Roman" w:hAnsi="Times New Roman"/>
          <w:sz w:val="28"/>
          <w:szCs w:val="28"/>
          <w:lang w:val="uk-UA"/>
        </w:rPr>
        <w:t>остеоасоційованих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37DB7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D37DB7">
        <w:rPr>
          <w:rFonts w:ascii="Times New Roman" w:hAnsi="Times New Roman"/>
          <w:sz w:val="28"/>
          <w:szCs w:val="28"/>
          <w:lang w:val="uk-UA"/>
        </w:rPr>
        <w:t xml:space="preserve"> та мікроелементів, задля розробки та впров</w:t>
      </w:r>
      <w:r>
        <w:rPr>
          <w:rFonts w:ascii="Times New Roman" w:hAnsi="Times New Roman"/>
          <w:sz w:val="28"/>
          <w:szCs w:val="28"/>
          <w:lang w:val="uk-UA"/>
        </w:rPr>
        <w:t>адження профілактичних заходів щодо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 мінімізації </w:t>
      </w:r>
      <w:r>
        <w:rPr>
          <w:rFonts w:ascii="Times New Roman" w:hAnsi="Times New Roman"/>
          <w:sz w:val="28"/>
          <w:szCs w:val="28"/>
          <w:lang w:val="uk-UA"/>
        </w:rPr>
        <w:t xml:space="preserve">його </w:t>
      </w:r>
      <w:r w:rsidRPr="00D37DB7">
        <w:rPr>
          <w:rFonts w:ascii="Times New Roman" w:hAnsi="Times New Roman"/>
          <w:sz w:val="28"/>
          <w:szCs w:val="28"/>
          <w:lang w:val="uk-UA"/>
        </w:rPr>
        <w:t xml:space="preserve">негативного впливу на ризик розвитку </w:t>
      </w:r>
      <w:proofErr w:type="spellStart"/>
      <w:r w:rsidRPr="00D37DB7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D37DB7">
        <w:rPr>
          <w:rFonts w:ascii="Times New Roman" w:hAnsi="Times New Roman"/>
          <w:sz w:val="28"/>
          <w:szCs w:val="28"/>
          <w:lang w:val="uk-UA"/>
        </w:rPr>
        <w:t xml:space="preserve"> серед мешканців промислової території.</w:t>
      </w:r>
    </w:p>
    <w:p w:rsidR="00386678" w:rsidRDefault="00386678" w:rsidP="00DC428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86678" w:rsidRPr="00DC428F" w:rsidRDefault="00386678" w:rsidP="00DC42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428F">
        <w:rPr>
          <w:rFonts w:ascii="Times New Roman" w:hAnsi="Times New Roman"/>
          <w:b/>
          <w:sz w:val="28"/>
          <w:szCs w:val="28"/>
          <w:lang w:val="uk-UA"/>
        </w:rPr>
        <w:t xml:space="preserve">В другому розділі </w:t>
      </w:r>
      <w:r w:rsidRPr="00DC428F">
        <w:rPr>
          <w:rFonts w:ascii="Times New Roman" w:hAnsi="Times New Roman"/>
          <w:sz w:val="28"/>
          <w:szCs w:val="28"/>
          <w:lang w:val="uk-UA"/>
        </w:rPr>
        <w:t xml:space="preserve">представлено об’єкти, обсяг і методи досліджень, які застосовувались для вирішення поставлених </w:t>
      </w:r>
      <w:r>
        <w:rPr>
          <w:rFonts w:ascii="Times New Roman" w:hAnsi="Times New Roman"/>
          <w:sz w:val="28"/>
          <w:szCs w:val="28"/>
          <w:lang w:val="uk-UA"/>
        </w:rPr>
        <w:t xml:space="preserve">в роботі </w:t>
      </w:r>
      <w:r w:rsidRPr="00DC428F">
        <w:rPr>
          <w:rFonts w:ascii="Times New Roman" w:hAnsi="Times New Roman"/>
          <w:sz w:val="28"/>
          <w:szCs w:val="28"/>
          <w:lang w:val="uk-UA"/>
        </w:rPr>
        <w:t>завдань. У відповідності із методичними та методологічними принципами доказової гігієни оцінка факторів ризику виникнення патології опорно-рухової системи населення промислових територій та розробка профілактичних заходів потребує системного підходу, що цілком логічно передбачає необхідність застосування комплексу гігієнічних, клінічних, епідеміологічних, експериментальних, біохімічних, соціологічних, статистичних і математичних методів дослідження. У зв’язку з цим, згідно мет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DC428F">
        <w:rPr>
          <w:rFonts w:ascii="Times New Roman" w:hAnsi="Times New Roman"/>
          <w:sz w:val="28"/>
          <w:szCs w:val="28"/>
          <w:lang w:val="uk-UA"/>
        </w:rPr>
        <w:t xml:space="preserve"> і завдань </w:t>
      </w:r>
      <w:r>
        <w:rPr>
          <w:rFonts w:ascii="Times New Roman" w:hAnsi="Times New Roman"/>
          <w:sz w:val="28"/>
          <w:szCs w:val="28"/>
          <w:lang w:val="uk-UA"/>
        </w:rPr>
        <w:t>заплановані та проведені</w:t>
      </w:r>
      <w:r w:rsidRPr="00DC428F">
        <w:rPr>
          <w:rFonts w:ascii="Times New Roman" w:hAnsi="Times New Roman"/>
          <w:sz w:val="28"/>
          <w:szCs w:val="28"/>
          <w:lang w:val="uk-UA"/>
        </w:rPr>
        <w:t xml:space="preserve"> дослідження були розподілені на окремі, взаємозалежні, етапи: 1 – гігієнічних досліджень; 2 – клініко-гігієнічних досліджень; 3 – епідеміологічних досліджень; 4 </w:t>
      </w:r>
      <w:proofErr w:type="spellStart"/>
      <w:r w:rsidRPr="00DC428F">
        <w:rPr>
          <w:rFonts w:ascii="Times New Roman" w:hAnsi="Times New Roman"/>
          <w:sz w:val="28"/>
          <w:szCs w:val="28"/>
          <w:lang w:val="uk-UA"/>
        </w:rPr>
        <w:t>–експериментальних</w:t>
      </w:r>
      <w:proofErr w:type="spellEnd"/>
      <w:r w:rsidRPr="00DC428F">
        <w:rPr>
          <w:rFonts w:ascii="Times New Roman" w:hAnsi="Times New Roman"/>
          <w:sz w:val="28"/>
          <w:szCs w:val="28"/>
          <w:lang w:val="uk-UA"/>
        </w:rPr>
        <w:t xml:space="preserve"> досліджень; 5 – наукового обґрунтування і розробки системи профілактичних заходів з попередження розвитку </w:t>
      </w:r>
      <w:proofErr w:type="spellStart"/>
      <w:r w:rsidRPr="00DC428F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DC428F">
        <w:rPr>
          <w:rFonts w:ascii="Times New Roman" w:hAnsi="Times New Roman"/>
          <w:sz w:val="28"/>
          <w:szCs w:val="28"/>
          <w:lang w:val="uk-UA"/>
        </w:rPr>
        <w:t xml:space="preserve"> у населення промислового міста.</w:t>
      </w:r>
    </w:p>
    <w:p w:rsidR="00386678" w:rsidRDefault="00386678" w:rsidP="00DC428F">
      <w:pPr>
        <w:pStyle w:val="a4"/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86678" w:rsidRPr="00E95199" w:rsidRDefault="00386678" w:rsidP="00DC428F">
      <w:pPr>
        <w:pStyle w:val="a4"/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184260">
        <w:rPr>
          <w:rFonts w:ascii="Times New Roman" w:hAnsi="Times New Roman"/>
          <w:b/>
          <w:sz w:val="28"/>
          <w:szCs w:val="28"/>
          <w:lang w:val="uk-UA"/>
        </w:rPr>
        <w:t>Розділ 3</w:t>
      </w:r>
      <w:r w:rsidRPr="00E95199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E95199">
        <w:rPr>
          <w:rFonts w:ascii="Times New Roman" w:hAnsi="Times New Roman"/>
          <w:sz w:val="28"/>
          <w:szCs w:val="28"/>
          <w:lang w:val="uk-UA"/>
        </w:rPr>
        <w:t>Результати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color w:val="000000"/>
          <w:sz w:val="28"/>
          <w:szCs w:val="28"/>
          <w:lang w:val="uk-UA" w:eastAsia="ru-RU"/>
        </w:rPr>
        <w:t>проведен</w:t>
      </w:r>
      <w:r w:rsidRPr="00E95199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 w:rsidRPr="00184260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го </w:t>
      </w:r>
      <w:r w:rsidRPr="00E9519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гігієнічного </w:t>
      </w:r>
      <w:r w:rsidRPr="00184260">
        <w:rPr>
          <w:rFonts w:ascii="Times New Roman" w:hAnsi="Times New Roman"/>
          <w:color w:val="000000"/>
          <w:sz w:val="28"/>
          <w:szCs w:val="28"/>
          <w:lang w:val="uk-UA" w:eastAsia="ru-RU"/>
        </w:rPr>
        <w:t>дослідження</w:t>
      </w:r>
      <w:r w:rsidRPr="00E9519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</w:t>
      </w:r>
      <w:r w:rsidRPr="00184260">
        <w:rPr>
          <w:rFonts w:ascii="Times New Roman" w:hAnsi="Times New Roman"/>
          <w:sz w:val="28"/>
          <w:szCs w:val="28"/>
          <w:lang w:val="uk-UA"/>
        </w:rPr>
        <w:t>становили дисбаланс основних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84260">
        <w:rPr>
          <w:rFonts w:ascii="Times New Roman" w:hAnsi="Times New Roman"/>
          <w:sz w:val="28"/>
          <w:szCs w:val="28"/>
          <w:lang w:val="uk-UA"/>
        </w:rPr>
        <w:t>нутрієнтів</w:t>
      </w:r>
      <w:proofErr w:type="spellEnd"/>
      <w:r w:rsidRPr="00184260">
        <w:rPr>
          <w:rFonts w:ascii="Times New Roman" w:hAnsi="Times New Roman"/>
          <w:sz w:val="28"/>
          <w:szCs w:val="28"/>
          <w:lang w:val="uk-UA"/>
        </w:rPr>
        <w:t xml:space="preserve"> у </w:t>
      </w:r>
      <w:r w:rsidRPr="00E95199">
        <w:rPr>
          <w:rFonts w:ascii="Times New Roman" w:hAnsi="Times New Roman"/>
          <w:sz w:val="28"/>
          <w:szCs w:val="28"/>
          <w:lang w:val="uk-UA"/>
        </w:rPr>
        <w:t xml:space="preserve">фактичному </w:t>
      </w:r>
      <w:r w:rsidRPr="00184260">
        <w:rPr>
          <w:rFonts w:ascii="Times New Roman" w:hAnsi="Times New Roman"/>
          <w:sz w:val="28"/>
          <w:szCs w:val="28"/>
          <w:lang w:val="uk-UA"/>
        </w:rPr>
        <w:t>харчуванні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населення за рахунок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значного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дефіциту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споживання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молочних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продуктів – на 57%, свіжих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овочів і фруктів – на 53%, м'яса і риби - на 18-37% від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добової потреби, який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характерний для мешканців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промислового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міста.</w:t>
      </w:r>
    </w:p>
    <w:p w:rsidR="00386678" w:rsidRPr="00E95199" w:rsidRDefault="00386678" w:rsidP="00DC428F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95199">
        <w:rPr>
          <w:rFonts w:ascii="Times New Roman" w:hAnsi="Times New Roman"/>
          <w:bCs/>
          <w:color w:val="000000"/>
          <w:sz w:val="28"/>
          <w:szCs w:val="28"/>
          <w:lang w:val="uk-UA"/>
        </w:rPr>
        <w:lastRenderedPageBreak/>
        <w:t xml:space="preserve">Визначений 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автором </w:t>
      </w:r>
      <w:r w:rsidRPr="00E95199">
        <w:rPr>
          <w:rFonts w:ascii="Times New Roman" w:hAnsi="Times New Roman"/>
          <w:bCs/>
          <w:color w:val="000000"/>
          <w:sz w:val="28"/>
          <w:szCs w:val="28"/>
          <w:lang w:val="uk-UA"/>
        </w:rPr>
        <w:t>розрахунковим методом рівень кальцію, цинку та міді у добових харчових раціонах мешканців еколог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ічно </w:t>
      </w:r>
      <w:r w:rsidRPr="00E95199">
        <w:rPr>
          <w:rFonts w:ascii="Times New Roman" w:hAnsi="Times New Roman"/>
          <w:bCs/>
          <w:color w:val="000000"/>
          <w:sz w:val="28"/>
          <w:szCs w:val="28"/>
          <w:lang w:val="uk-UA"/>
        </w:rPr>
        <w:t>контрастних міст, свідчить, що аліментарна забезпеченість дослідженими елементами населення промислового міста нижча на 35-62% відносно</w:t>
      </w:r>
      <w:r w:rsidRPr="00E95199">
        <w:rPr>
          <w:rFonts w:ascii="Times New Roman" w:hAnsi="Times New Roman"/>
          <w:bCs/>
          <w:sz w:val="28"/>
          <w:szCs w:val="28"/>
          <w:lang w:val="uk-UA"/>
        </w:rPr>
        <w:t xml:space="preserve"> їх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E95199">
        <w:rPr>
          <w:rFonts w:ascii="Times New Roman" w:hAnsi="Times New Roman"/>
          <w:bCs/>
          <w:sz w:val="28"/>
          <w:szCs w:val="28"/>
          <w:lang w:val="uk-UA"/>
        </w:rPr>
        <w:t xml:space="preserve">фізіологічної потреби і на 1-4% </w:t>
      </w:r>
      <w:r w:rsidRPr="00E95199">
        <w:rPr>
          <w:rFonts w:ascii="Times New Roman" w:hAnsi="Times New Roman"/>
          <w:bCs/>
          <w:color w:val="000000"/>
          <w:sz w:val="28"/>
          <w:szCs w:val="28"/>
          <w:lang w:val="uk-UA"/>
        </w:rPr>
        <w:t>відносно</w:t>
      </w:r>
      <w:r w:rsidRPr="00E95199">
        <w:rPr>
          <w:rFonts w:ascii="Times New Roman" w:hAnsi="Times New Roman"/>
          <w:bCs/>
          <w:sz w:val="28"/>
          <w:szCs w:val="28"/>
          <w:lang w:val="uk-UA"/>
        </w:rPr>
        <w:t xml:space="preserve"> контрольного міста.</w:t>
      </w:r>
    </w:p>
    <w:p w:rsidR="00386678" w:rsidRPr="000F3EB8" w:rsidRDefault="00386678" w:rsidP="000F3E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F3EB8">
        <w:rPr>
          <w:rFonts w:ascii="Times New Roman" w:hAnsi="Times New Roman"/>
          <w:sz w:val="28"/>
          <w:szCs w:val="28"/>
          <w:lang w:val="uk-UA"/>
        </w:rPr>
        <w:t>Аналіз вживання населенням вітамінно-мінеральних добавок свідчить, що серед опитуваних лише 21% чоловіків та 35 % жінок у щоденному раціоні їх вживають, причому, частка вживання мінеральних компонентів, на відміну від вітамінних, досить незначна, що вказує на необізнаність і неналежну увагу населення до цієї необхідної складової харчування.</w:t>
      </w:r>
    </w:p>
    <w:p w:rsidR="00386678" w:rsidRPr="000F3EB8" w:rsidRDefault="00386678" w:rsidP="000F3E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F3EB8">
        <w:rPr>
          <w:rFonts w:ascii="Times New Roman" w:hAnsi="Times New Roman"/>
          <w:sz w:val="28"/>
          <w:szCs w:val="28"/>
          <w:lang w:val="uk-UA"/>
        </w:rPr>
        <w:t xml:space="preserve">Гігієнічний аналіз вмісту свинцю, інших важких металів та </w:t>
      </w:r>
      <w:proofErr w:type="spellStart"/>
      <w:r w:rsidRPr="000F3EB8">
        <w:rPr>
          <w:rFonts w:ascii="Times New Roman" w:hAnsi="Times New Roman"/>
          <w:sz w:val="28"/>
          <w:szCs w:val="28"/>
          <w:lang w:val="uk-UA"/>
        </w:rPr>
        <w:t>есенціальних</w:t>
      </w:r>
      <w:proofErr w:type="spellEnd"/>
      <w:r w:rsidRPr="000F3EB8">
        <w:rPr>
          <w:rFonts w:ascii="Times New Roman" w:hAnsi="Times New Roman"/>
          <w:sz w:val="28"/>
          <w:szCs w:val="28"/>
          <w:lang w:val="uk-UA"/>
        </w:rPr>
        <w:t xml:space="preserve"> мікроелементів у продуктах харчування промислового та непромислового               міст, свідчить, що в основних групах продуктів харчування та харчовій сировині м. Дніпро середня концентрація свинцю вища на 64,9% (р&lt;0,001) і кадмію на 34% (р&lt;0,001), порівняно з м. Новомосковськ. Середній вміст </w:t>
      </w:r>
      <w:proofErr w:type="spellStart"/>
      <w:r w:rsidRPr="000F3EB8">
        <w:rPr>
          <w:rFonts w:ascii="Times New Roman" w:hAnsi="Times New Roman"/>
          <w:sz w:val="28"/>
          <w:szCs w:val="28"/>
          <w:lang w:val="uk-UA"/>
        </w:rPr>
        <w:t>есенціальних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3EB8">
        <w:rPr>
          <w:rFonts w:ascii="Times New Roman" w:hAnsi="Times New Roman"/>
          <w:sz w:val="28"/>
          <w:szCs w:val="28"/>
          <w:lang w:val="uk-UA"/>
        </w:rPr>
        <w:t>мікроелементів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3EB8">
        <w:rPr>
          <w:rFonts w:ascii="Times New Roman" w:hAnsi="Times New Roman"/>
          <w:sz w:val="28"/>
          <w:szCs w:val="28"/>
          <w:lang w:val="uk-UA"/>
        </w:rPr>
        <w:t>– цинку і міді у продуктах становив 3,92±0,02 мг/кг (для цинку), що нижче на 21,9% (р&lt;0,001) і 0,84±0,004 мг/кг (для міді), що нижче на 37,7%, порівняно з контролем.</w:t>
      </w:r>
    </w:p>
    <w:p w:rsidR="00386678" w:rsidRPr="00E95199" w:rsidRDefault="00386678" w:rsidP="00DC428F">
      <w:pPr>
        <w:pStyle w:val="a4"/>
        <w:tabs>
          <w:tab w:val="left" w:pos="207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95199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Аналіз</w:t>
      </w:r>
      <w:r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E95199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д</w:t>
      </w:r>
      <w:r w:rsidRPr="00E9519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инаміки змін вмісту </w:t>
      </w:r>
      <w:proofErr w:type="spellStart"/>
      <w:r w:rsidRPr="00E95199">
        <w:rPr>
          <w:rFonts w:ascii="Times New Roman" w:hAnsi="Times New Roman"/>
          <w:color w:val="000000"/>
          <w:sz w:val="28"/>
          <w:szCs w:val="28"/>
          <w:lang w:val="uk-UA" w:eastAsia="ru-RU"/>
        </w:rPr>
        <w:t>остеотропних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E95199">
        <w:rPr>
          <w:rFonts w:ascii="Times New Roman" w:hAnsi="Times New Roman"/>
          <w:color w:val="000000"/>
          <w:sz w:val="28"/>
          <w:szCs w:val="28"/>
          <w:lang w:val="uk-UA" w:eastAsia="ru-RU"/>
        </w:rPr>
        <w:t>абіотиків</w:t>
      </w:r>
      <w:r w:rsidRPr="00E95199">
        <w:rPr>
          <w:rFonts w:ascii="Times New Roman" w:hAnsi="Times New Roman"/>
          <w:sz w:val="28"/>
          <w:szCs w:val="28"/>
          <w:lang w:val="uk-UA"/>
        </w:rPr>
        <w:t>–</w:t>
      </w:r>
      <w:proofErr w:type="spellEnd"/>
      <w:r w:rsidRPr="00E95199">
        <w:rPr>
          <w:rFonts w:ascii="Times New Roman" w:hAnsi="Times New Roman"/>
          <w:sz w:val="28"/>
          <w:szCs w:val="28"/>
          <w:lang w:val="uk-UA"/>
        </w:rPr>
        <w:t xml:space="preserve"> свинцю та кадмію – </w:t>
      </w:r>
      <w:r w:rsidRPr="00E9519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у харчових продуктах промислового регіону виявив їх </w:t>
      </w:r>
      <w:r w:rsidRPr="00E95199">
        <w:rPr>
          <w:rFonts w:ascii="Times New Roman" w:hAnsi="Times New Roman"/>
          <w:sz w:val="28"/>
          <w:szCs w:val="28"/>
          <w:lang w:val="uk-UA"/>
        </w:rPr>
        <w:t>зростання протягом останніх 5 років у 1,7-5 раз у продуктах як рослинного, так і тваринного походження, що посилює небезпечність для мешканців промислового                міста.</w:t>
      </w:r>
    </w:p>
    <w:p w:rsidR="00386678" w:rsidRPr="00E95199" w:rsidRDefault="00386678" w:rsidP="00DC428F">
      <w:pPr>
        <w:pStyle w:val="a4"/>
        <w:tabs>
          <w:tab w:val="left" w:pos="207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95199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E95199">
        <w:rPr>
          <w:rFonts w:ascii="Times New Roman" w:hAnsi="Times New Roman"/>
          <w:b/>
          <w:sz w:val="28"/>
          <w:szCs w:val="28"/>
          <w:lang w:val="uk-UA"/>
        </w:rPr>
        <w:t xml:space="preserve">розділі 4 </w:t>
      </w:r>
      <w:r w:rsidRPr="00E95199">
        <w:rPr>
          <w:rFonts w:ascii="Times New Roman" w:hAnsi="Times New Roman"/>
          <w:sz w:val="28"/>
          <w:szCs w:val="28"/>
          <w:lang w:val="uk-UA"/>
        </w:rPr>
        <w:t xml:space="preserve">наведені матеріали результатів клініко-гігієнічних досліджень серед мешканців екологоконтрастних територій, які доводять, що в кістковій тканині мешканців промислового міста концентрація </w:t>
      </w:r>
      <w:proofErr w:type="spellStart"/>
      <w:r w:rsidRPr="00E95199">
        <w:rPr>
          <w:rFonts w:ascii="Times New Roman" w:hAnsi="Times New Roman"/>
          <w:sz w:val="28"/>
          <w:szCs w:val="28"/>
          <w:lang w:val="uk-UA"/>
        </w:rPr>
        <w:t>остеотропних</w:t>
      </w:r>
      <w:proofErr w:type="spellEnd"/>
      <w:r w:rsidRPr="00E9519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95199">
        <w:rPr>
          <w:rFonts w:ascii="Times New Roman" w:hAnsi="Times New Roman"/>
          <w:sz w:val="28"/>
          <w:szCs w:val="28"/>
          <w:lang w:val="uk-UA"/>
        </w:rPr>
        <w:t>макроелементів</w:t>
      </w:r>
      <w:proofErr w:type="spellEnd"/>
      <w:r w:rsidRPr="00E95199">
        <w:rPr>
          <w:rFonts w:ascii="Times New Roman" w:hAnsi="Times New Roman"/>
          <w:sz w:val="28"/>
          <w:szCs w:val="28"/>
          <w:lang w:val="uk-UA"/>
        </w:rPr>
        <w:t xml:space="preserve"> кальцію та магнію достовірно нижча на 20% і 23% відповідно. </w:t>
      </w:r>
    </w:p>
    <w:p w:rsidR="00386678" w:rsidRPr="00E95199" w:rsidRDefault="00386678" w:rsidP="00DC428F">
      <w:pPr>
        <w:pStyle w:val="a4"/>
        <w:tabs>
          <w:tab w:val="left" w:pos="20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95199">
        <w:rPr>
          <w:rFonts w:ascii="Times New Roman" w:hAnsi="Times New Roman"/>
          <w:sz w:val="28"/>
          <w:szCs w:val="28"/>
          <w:lang w:val="uk-UA"/>
        </w:rPr>
        <w:t xml:space="preserve">Відмічається зниження вмісту мікроелементів (цинку, міді та марганцю) на 16%, 14% і 30% відповідно, порівняно з аналогічними даними жителів контрольної території та загалом нижче у 1,9-3,5 разів за їх фізіологічну норму. </w:t>
      </w:r>
      <w:r w:rsidRPr="00184260">
        <w:rPr>
          <w:rFonts w:ascii="Times New Roman" w:hAnsi="Times New Roman"/>
          <w:sz w:val="28"/>
          <w:szCs w:val="28"/>
          <w:lang w:val="uk-UA"/>
        </w:rPr>
        <w:lastRenderedPageBreak/>
        <w:t>Рівень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заліза у кістковій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тканині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був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вищим на 17% у мешканців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промислової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території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hAnsi="Times New Roman"/>
          <w:sz w:val="28"/>
          <w:szCs w:val="28"/>
          <w:lang w:val="uk-UA"/>
        </w:rPr>
        <w:t>порівняно з контрольною</w:t>
      </w:r>
      <w:r w:rsidRPr="00E95199">
        <w:rPr>
          <w:rFonts w:ascii="Times New Roman" w:hAnsi="Times New Roman"/>
          <w:sz w:val="28"/>
          <w:szCs w:val="28"/>
          <w:lang w:val="uk-UA"/>
        </w:rPr>
        <w:t>.</w:t>
      </w:r>
    </w:p>
    <w:p w:rsidR="00386678" w:rsidRDefault="00386678" w:rsidP="007A0C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523FE">
        <w:rPr>
          <w:rFonts w:ascii="Times New Roman" w:hAnsi="Times New Roman"/>
          <w:sz w:val="28"/>
          <w:szCs w:val="28"/>
          <w:lang w:val="uk-UA"/>
        </w:rPr>
        <w:t xml:space="preserve">Математичне опрацювання і розрахунок </w:t>
      </w:r>
      <w:r w:rsidRPr="00E77672">
        <w:rPr>
          <w:rFonts w:ascii="Times New Roman" w:hAnsi="Times New Roman"/>
          <w:sz w:val="28"/>
          <w:szCs w:val="28"/>
          <w:lang w:val="uk-UA"/>
        </w:rPr>
        <w:t>відносного ризику довели зростання впливу антропогенного навантаження навколишнього середовища на зменшення вмісту кальцію в кістковій тканині, який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за відношенням шансів вище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5,6 раз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, цинку –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12 разів, та міді –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6 разів, порівняно з особами, які проживають на контрольній території.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23FE">
        <w:rPr>
          <w:rFonts w:ascii="Times New Roman" w:hAnsi="Times New Roman"/>
          <w:sz w:val="28"/>
          <w:szCs w:val="28"/>
          <w:lang w:val="uk-UA"/>
        </w:rPr>
        <w:t>Виявлене достовірне</w:t>
      </w:r>
      <w:r w:rsidRPr="00B523FE">
        <w:rPr>
          <w:rFonts w:ascii="Times New Roman" w:hAnsi="Times New Roman"/>
          <w:b/>
          <w:sz w:val="28"/>
          <w:szCs w:val="28"/>
          <w:lang w:val="uk-UA"/>
        </w:rPr>
        <w:t xml:space="preserve"> з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ниження рівнів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остеоасоційованих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 w:rsidRPr="00B523FE">
        <w:rPr>
          <w:rFonts w:ascii="Times New Roman" w:hAnsi="Times New Roman"/>
          <w:sz w:val="28"/>
          <w:szCs w:val="28"/>
          <w:lang w:val="uk-UA"/>
        </w:rPr>
        <w:t xml:space="preserve"> та мікроелементів у крові та кістковій тканині мешканців промислового регіону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B523FE">
        <w:rPr>
          <w:rFonts w:ascii="Times New Roman" w:hAnsi="Times New Roman"/>
          <w:sz w:val="28"/>
          <w:szCs w:val="28"/>
          <w:lang w:val="uk-UA"/>
        </w:rPr>
        <w:t>умовлює порушення кісткового метаболізму</w:t>
      </w:r>
      <w:r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сприяє зниженню мінераль</w:t>
      </w:r>
      <w:r>
        <w:rPr>
          <w:rFonts w:ascii="Times New Roman" w:hAnsi="Times New Roman"/>
          <w:sz w:val="28"/>
          <w:szCs w:val="28"/>
          <w:lang w:val="uk-UA"/>
        </w:rPr>
        <w:t xml:space="preserve">ної щільності кісткової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тканинита</w:t>
      </w:r>
      <w:proofErr w:type="spellEnd"/>
      <w:r w:rsidRPr="00B523FE">
        <w:rPr>
          <w:rFonts w:ascii="Times New Roman" w:hAnsi="Times New Roman"/>
          <w:sz w:val="28"/>
          <w:szCs w:val="28"/>
          <w:lang w:val="uk-UA"/>
        </w:rPr>
        <w:t xml:space="preserve">, як наслідок, розвитку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B523FE">
        <w:rPr>
          <w:rFonts w:ascii="Times New Roman" w:hAnsi="Times New Roman"/>
          <w:sz w:val="28"/>
          <w:szCs w:val="28"/>
          <w:lang w:val="uk-UA"/>
        </w:rPr>
        <w:t>.</w:t>
      </w:r>
    </w:p>
    <w:p w:rsidR="00386678" w:rsidRDefault="00386678" w:rsidP="007A0C9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86678" w:rsidRDefault="00386678" w:rsidP="007A0C98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A0C98">
        <w:rPr>
          <w:rFonts w:ascii="Times New Roman" w:hAnsi="Times New Roman"/>
          <w:b/>
          <w:sz w:val="28"/>
          <w:szCs w:val="28"/>
          <w:lang w:val="uk-UA"/>
        </w:rPr>
        <w:t>Розділ 5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A0C98">
        <w:rPr>
          <w:rFonts w:ascii="Times New Roman" w:hAnsi="Times New Roman"/>
          <w:sz w:val="28"/>
          <w:szCs w:val="28"/>
          <w:lang w:val="uk-UA"/>
        </w:rPr>
        <w:t>містить результати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вивчення в експерименті ізольованої та комбінованої дії сполук свинцю і цинку, як доведен</w:t>
      </w:r>
      <w:r>
        <w:rPr>
          <w:rFonts w:ascii="Times New Roman" w:hAnsi="Times New Roman"/>
          <w:sz w:val="28"/>
          <w:szCs w:val="28"/>
          <w:lang w:val="uk-UA"/>
        </w:rPr>
        <w:t xml:space="preserve">их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біоантагоніст</w:t>
      </w:r>
      <w:r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Pr="00B523FE">
        <w:rPr>
          <w:rFonts w:ascii="Times New Roman" w:hAnsi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/>
          <w:sz w:val="28"/>
          <w:szCs w:val="28"/>
          <w:lang w:val="uk-UA"/>
        </w:rPr>
        <w:t>органічній та неорганічній формах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, на кісткову тканину щурів </w:t>
      </w: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підгострому</w:t>
      </w:r>
      <w:proofErr w:type="spellEnd"/>
      <w:r w:rsidRPr="00B523FE">
        <w:rPr>
          <w:rFonts w:ascii="Times New Roman" w:hAnsi="Times New Roman"/>
          <w:sz w:val="28"/>
          <w:szCs w:val="28"/>
          <w:lang w:val="uk-UA"/>
        </w:rPr>
        <w:t xml:space="preserve"> досліді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Отримані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автором 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результати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переконливо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 свідчать, що низькодозовий вплив свинцю протягом підгострого досліду зумовлює достовірне зменшення вмісту кальцію в кістковій тканині на 28% (</w:t>
      </w:r>
      <w:r w:rsidRPr="00B523F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p&lt;0,01), цинку 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на 6,9% (p&lt;0,05),</w:t>
      </w:r>
      <w:r w:rsidRPr="00B523F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міді 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– </w:t>
      </w:r>
      <w:r w:rsidRPr="00B523F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на 43,5% </w:t>
      </w:r>
      <w:r w:rsidRPr="00B523FE">
        <w:rPr>
          <w:rFonts w:ascii="Times New Roman" w:hAnsi="Times New Roman"/>
          <w:color w:val="000000"/>
          <w:sz w:val="28"/>
          <w:szCs w:val="20"/>
          <w:lang w:val="uk-UA" w:eastAsia="ru-RU"/>
        </w:rPr>
        <w:t>(</w:t>
      </w:r>
      <w:r w:rsidRPr="00B523F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p&lt;0,01) 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порівняно з аналогічними даними контрольної групи тварин, що знижує її щільність та, на фоні порушення співвідношення </w:t>
      </w:r>
      <w:proofErr w:type="spellStart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Cu</w:t>
      </w:r>
      <w:proofErr w:type="spellEnd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:</w:t>
      </w:r>
      <w:proofErr w:type="spellStart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Zn</w:t>
      </w:r>
      <w:proofErr w:type="spellEnd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, спотворює кістковий метаболізм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 потенціює розвиток </w:t>
      </w:r>
      <w:proofErr w:type="spellStart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остеопеній</w:t>
      </w:r>
      <w:proofErr w:type="spellEnd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остеопорозних</w:t>
      </w:r>
      <w:proofErr w:type="spellEnd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 xml:space="preserve"> станів організму.</w:t>
      </w:r>
    </w:p>
    <w:p w:rsidR="00386678" w:rsidRPr="009F015B" w:rsidRDefault="00386678" w:rsidP="009F015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NewRomanPSMT" w:hAnsi="Times New Roman"/>
          <w:sz w:val="28"/>
          <w:szCs w:val="28"/>
          <w:lang w:val="uk-UA"/>
        </w:rPr>
        <w:tab/>
      </w:r>
      <w:r w:rsidRPr="00AC6918">
        <w:rPr>
          <w:rFonts w:ascii="Times New Roman" w:eastAsia="TimesNewRomanPSMT" w:hAnsi="Times New Roman"/>
          <w:sz w:val="28"/>
          <w:szCs w:val="28"/>
          <w:lang w:val="uk-UA"/>
        </w:rPr>
        <w:t>Позитивним є той факт, що дисертантом застосовано м</w:t>
      </w:r>
      <w:r w:rsidRPr="00AC6918">
        <w:rPr>
          <w:rFonts w:ascii="Times New Roman" w:hAnsi="Times New Roman"/>
          <w:sz w:val="28"/>
          <w:szCs w:val="28"/>
          <w:lang w:val="uk-UA"/>
        </w:rPr>
        <w:t xml:space="preserve">ножинний кореляційний аналіз з контрольною групою за критерієм </w:t>
      </w:r>
      <w:proofErr w:type="spellStart"/>
      <w:r w:rsidRPr="00AC6918">
        <w:rPr>
          <w:rFonts w:ascii="Times New Roman" w:hAnsi="Times New Roman"/>
          <w:sz w:val="28"/>
          <w:szCs w:val="28"/>
          <w:lang w:val="uk-UA"/>
        </w:rPr>
        <w:t>Даннетта</w:t>
      </w:r>
      <w:proofErr w:type="spellEnd"/>
      <w:r w:rsidRPr="00AC6918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AC6918">
        <w:rPr>
          <w:rFonts w:ascii="Times New Roman" w:hAnsi="Times New Roman"/>
          <w:sz w:val="28"/>
          <w:szCs w:val="28"/>
          <w:lang w:val="uk-UA"/>
        </w:rPr>
        <w:t>Dunnetttest</w:t>
      </w:r>
      <w:proofErr w:type="spellEnd"/>
      <w:r w:rsidRPr="00AC6918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, за допомогою якого</w:t>
      </w:r>
      <w:r w:rsidRPr="00AC6918">
        <w:rPr>
          <w:rFonts w:ascii="Times New Roman" w:hAnsi="Times New Roman"/>
          <w:sz w:val="28"/>
          <w:szCs w:val="28"/>
          <w:lang w:val="uk-UA"/>
        </w:rPr>
        <w:t xml:space="preserve"> вияв</w:t>
      </w:r>
      <w:r>
        <w:rPr>
          <w:rFonts w:ascii="Times New Roman" w:hAnsi="Times New Roman"/>
          <w:sz w:val="28"/>
          <w:szCs w:val="28"/>
          <w:lang w:val="uk-UA"/>
        </w:rPr>
        <w:t>лено</w:t>
      </w:r>
      <w:r w:rsidRPr="00AC6918">
        <w:rPr>
          <w:rFonts w:ascii="Times New Roman" w:hAnsi="Times New Roman"/>
          <w:sz w:val="28"/>
          <w:szCs w:val="28"/>
          <w:lang w:val="uk-UA"/>
        </w:rPr>
        <w:t xml:space="preserve"> високу достовірність різниці рівнів елементів у різних дослідних групах.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95199">
        <w:rPr>
          <w:rFonts w:ascii="Times New Roman" w:hAnsi="Times New Roman"/>
          <w:sz w:val="28"/>
          <w:szCs w:val="28"/>
          <w:lang w:val="uk-UA"/>
        </w:rPr>
        <w:t xml:space="preserve">Встановлено, що цинк за комбінованого введення в дозі 1,5 мг/кг маси тіла зі свинцем в дозі 0,05 мг/кг виступає </w:t>
      </w:r>
      <w:r w:rsidRPr="009F015B">
        <w:rPr>
          <w:rFonts w:ascii="Times New Roman" w:hAnsi="Times New Roman"/>
          <w:sz w:val="28"/>
          <w:szCs w:val="28"/>
          <w:lang w:val="uk-UA"/>
        </w:rPr>
        <w:t xml:space="preserve">доведеним </w:t>
      </w:r>
      <w:proofErr w:type="spellStart"/>
      <w:r w:rsidRPr="009F015B">
        <w:rPr>
          <w:rFonts w:ascii="Times New Roman" w:hAnsi="Times New Roman"/>
          <w:sz w:val="28"/>
          <w:szCs w:val="28"/>
          <w:lang w:val="uk-UA"/>
        </w:rPr>
        <w:t>біопротектором</w:t>
      </w:r>
      <w:proofErr w:type="spellEnd"/>
      <w:r w:rsidRPr="009F015B">
        <w:rPr>
          <w:rFonts w:ascii="Times New Roman" w:hAnsi="Times New Roman"/>
          <w:sz w:val="28"/>
          <w:szCs w:val="28"/>
          <w:lang w:val="uk-UA"/>
        </w:rPr>
        <w:t xml:space="preserve"> кісткової тканини за умов інтоксикації останнім, що </w:t>
      </w:r>
      <w:proofErr w:type="spellStart"/>
      <w:r w:rsidRPr="009F015B">
        <w:rPr>
          <w:rFonts w:ascii="Times New Roman" w:hAnsi="Times New Roman"/>
          <w:sz w:val="28"/>
          <w:szCs w:val="28"/>
          <w:lang w:val="uk-UA"/>
        </w:rPr>
        <w:t>грунтується</w:t>
      </w:r>
      <w:proofErr w:type="spellEnd"/>
      <w:r w:rsidRPr="009F015B">
        <w:rPr>
          <w:rFonts w:ascii="Times New Roman" w:hAnsi="Times New Roman"/>
          <w:sz w:val="28"/>
          <w:szCs w:val="28"/>
          <w:lang w:val="uk-UA"/>
        </w:rPr>
        <w:t xml:space="preserve"> на основі збільшення рівнів </w:t>
      </w:r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 xml:space="preserve">важливих для кісткового метаболізму біотичних </w:t>
      </w:r>
      <w:proofErr w:type="spellStart"/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>макро-</w:t>
      </w:r>
      <w:proofErr w:type="spellEnd"/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 xml:space="preserve"> та мікроелементів у скелеті, а саме: </w:t>
      </w:r>
      <w:r w:rsidRPr="009F015B">
        <w:rPr>
          <w:rFonts w:ascii="Times New Roman" w:hAnsi="Times New Roman"/>
          <w:sz w:val="28"/>
          <w:szCs w:val="28"/>
          <w:lang w:val="uk-UA"/>
        </w:rPr>
        <w:t xml:space="preserve">кальцію </w:t>
      </w:r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 xml:space="preserve">– </w:t>
      </w:r>
      <w:r w:rsidRPr="009F015B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Pr="009F015B">
        <w:rPr>
          <w:rFonts w:ascii="Times New Roman" w:hAnsi="Times New Roman"/>
          <w:sz w:val="28"/>
          <w:szCs w:val="28"/>
          <w:lang w:val="uk-UA" w:eastAsia="ru-RU"/>
        </w:rPr>
        <w:t>16,4-</w:t>
      </w:r>
      <w:r w:rsidRPr="009F015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22,04%, </w:t>
      </w:r>
      <w:r w:rsidRPr="009F015B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 xml:space="preserve">цинку </w:t>
      </w:r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>–</w:t>
      </w:r>
      <w:r w:rsidRPr="009F015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на 1,5-</w:t>
      </w:r>
      <w:r w:rsidRPr="009F015B">
        <w:rPr>
          <w:rFonts w:ascii="Times New Roman" w:hAnsi="Times New Roman"/>
          <w:sz w:val="28"/>
          <w:szCs w:val="28"/>
          <w:lang w:val="uk-UA"/>
        </w:rPr>
        <w:t xml:space="preserve">16,6% та міді </w:t>
      </w:r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 xml:space="preserve">– </w:t>
      </w:r>
      <w:r w:rsidRPr="009F015B">
        <w:rPr>
          <w:rFonts w:ascii="Times New Roman" w:hAnsi="Times New Roman"/>
          <w:sz w:val="28"/>
          <w:szCs w:val="28"/>
          <w:lang w:val="uk-UA"/>
        </w:rPr>
        <w:t>на 5,4-22,7% відносно свинцевих груп.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 xml:space="preserve">Цинк в </w:t>
      </w:r>
      <w:proofErr w:type="spellStart"/>
      <w:r w:rsidRPr="009F015B">
        <w:rPr>
          <w:rFonts w:ascii="Times New Roman" w:hAnsi="Times New Roman"/>
          <w:sz w:val="28"/>
          <w:szCs w:val="28"/>
          <w:lang w:val="uk-UA"/>
        </w:rPr>
        <w:t>наноаквахелатній</w:t>
      </w:r>
      <w:proofErr w:type="spellEnd"/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 xml:space="preserve"> формі має більш потужні протекторні ефекти, ніж </w:t>
      </w:r>
      <w:proofErr w:type="spellStart"/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>макроформа</w:t>
      </w:r>
      <w:proofErr w:type="spellEnd"/>
      <w:r w:rsidRPr="009F015B">
        <w:rPr>
          <w:rFonts w:ascii="Times New Roman" w:hAnsi="Times New Roman"/>
          <w:color w:val="000000"/>
          <w:sz w:val="28"/>
          <w:szCs w:val="28"/>
          <w:lang w:val="uk-UA"/>
        </w:rPr>
        <w:t>, що підтверджується збільшення вмісту кальцію у кістковій тканині у 2,1 (p&lt;0,001) та 1,4 рази (p&lt;0,05) відповідно, порівняно з контролем.</w:t>
      </w:r>
    </w:p>
    <w:p w:rsidR="00386678" w:rsidRDefault="00386678" w:rsidP="009F015B">
      <w:pPr>
        <w:pStyle w:val="a4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Встановлені позиції були покладені в основу рекомендацій щодо управління процесом оптимізації забезпечення організму комплексом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біоелементів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386678" w:rsidRDefault="00386678" w:rsidP="007D6CA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86678" w:rsidRDefault="00386678" w:rsidP="007D6CAE">
      <w:pPr>
        <w:spacing w:after="0"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B523FE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B523FE">
        <w:rPr>
          <w:rFonts w:ascii="Times New Roman" w:hAnsi="Times New Roman"/>
          <w:b/>
          <w:sz w:val="28"/>
          <w:szCs w:val="28"/>
          <w:lang w:val="uk-UA"/>
        </w:rPr>
        <w:t>розділі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523FE">
        <w:rPr>
          <w:rFonts w:ascii="Times New Roman" w:hAnsi="Times New Roman"/>
          <w:b/>
          <w:sz w:val="28"/>
          <w:szCs w:val="28"/>
          <w:lang w:val="uk-UA"/>
        </w:rPr>
        <w:t xml:space="preserve">6 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представлені дані гігієнічного аналізу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викопі</w:t>
      </w:r>
      <w:r>
        <w:rPr>
          <w:rFonts w:ascii="Times New Roman" w:hAnsi="Times New Roman"/>
          <w:sz w:val="28"/>
          <w:szCs w:val="28"/>
          <w:lang w:val="uk-UA"/>
        </w:rPr>
        <w:t>йо</w:t>
      </w:r>
      <w:r w:rsidRPr="00B523FE">
        <w:rPr>
          <w:rFonts w:ascii="Times New Roman" w:hAnsi="Times New Roman"/>
          <w:sz w:val="28"/>
          <w:szCs w:val="28"/>
          <w:lang w:val="uk-UA"/>
        </w:rPr>
        <w:t>ваних</w:t>
      </w:r>
      <w:proofErr w:type="spellEnd"/>
      <w:r w:rsidRPr="00B523FE">
        <w:rPr>
          <w:rFonts w:ascii="Times New Roman" w:hAnsi="Times New Roman"/>
          <w:sz w:val="28"/>
          <w:szCs w:val="28"/>
          <w:lang w:val="uk-UA"/>
        </w:rPr>
        <w:t xml:space="preserve"> даних результатів оцінки мінеральної щільності кісткової тканини методом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остеоденситометрії</w:t>
      </w:r>
      <w:proofErr w:type="spellEnd"/>
      <w:r w:rsidRPr="00B523FE">
        <w:rPr>
          <w:rFonts w:ascii="Times New Roman" w:hAnsi="Times New Roman"/>
          <w:sz w:val="28"/>
          <w:szCs w:val="28"/>
          <w:lang w:val="uk-UA"/>
        </w:rPr>
        <w:t xml:space="preserve"> мешканців промислової та контрольної територій.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З</w:t>
      </w:r>
      <w:r w:rsidRPr="00B523FE">
        <w:rPr>
          <w:rFonts w:ascii="Times New Roman" w:hAnsi="Times New Roman"/>
          <w:sz w:val="28"/>
          <w:lang w:val="uk-UA"/>
        </w:rPr>
        <w:t xml:space="preserve">а середніми величинами </w:t>
      </w:r>
      <w:r>
        <w:rPr>
          <w:rFonts w:ascii="Times New Roman" w:hAnsi="Times New Roman"/>
          <w:sz w:val="28"/>
          <w:lang w:val="uk-UA"/>
        </w:rPr>
        <w:t>в</w:t>
      </w:r>
      <w:r w:rsidRPr="00B523FE">
        <w:rPr>
          <w:rFonts w:ascii="Times New Roman" w:hAnsi="Times New Roman"/>
          <w:sz w:val="28"/>
          <w:lang w:val="uk-UA"/>
        </w:rPr>
        <w:t xml:space="preserve">еличина 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мінеральної щільності кістки </w:t>
      </w:r>
      <w:r w:rsidRPr="00B523FE">
        <w:rPr>
          <w:rFonts w:ascii="Times New Roman" w:hAnsi="Times New Roman"/>
          <w:sz w:val="28"/>
          <w:lang w:val="uk-UA"/>
        </w:rPr>
        <w:t>(за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B523FE">
        <w:rPr>
          <w:rFonts w:ascii="Times New Roman" w:hAnsi="Times New Roman"/>
          <w:sz w:val="28"/>
          <w:lang w:val="uk-UA"/>
        </w:rPr>
        <w:t xml:space="preserve">T-критерієм) серед дослідженого контингенту коливалась </w:t>
      </w:r>
      <w:r>
        <w:rPr>
          <w:rFonts w:ascii="Times New Roman" w:hAnsi="Times New Roman"/>
          <w:sz w:val="28"/>
          <w:lang w:val="uk-UA"/>
        </w:rPr>
        <w:t>у</w:t>
      </w:r>
      <w:r w:rsidRPr="00B523FE">
        <w:rPr>
          <w:rFonts w:ascii="Times New Roman" w:hAnsi="Times New Roman"/>
          <w:sz w:val="28"/>
          <w:lang w:val="uk-UA"/>
        </w:rPr>
        <w:t xml:space="preserve"> межах від </w:t>
      </w:r>
      <w:r w:rsidRPr="00B523FE">
        <w:rPr>
          <w:rFonts w:ascii="Times New Roman" w:hAnsi="Times New Roman"/>
          <w:sz w:val="28"/>
          <w:szCs w:val="28"/>
          <w:lang w:val="uk-UA"/>
        </w:rPr>
        <w:t>-2,44</w:t>
      </w:r>
      <w:r w:rsidRPr="00B523FE">
        <w:rPr>
          <w:rFonts w:ascii="Times New Roman" w:hAnsi="Times New Roman"/>
          <w:b/>
          <w:sz w:val="28"/>
          <w:szCs w:val="28"/>
          <w:lang w:val="uk-UA"/>
        </w:rPr>
        <w:t>±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0,241 до -0,53±0,427 для чоловіків та від -1,98±0,134 до -0,89±0,209 для жінок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відпо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-</w:t>
      </w:r>
      <w:r w:rsidRPr="00B523FE">
        <w:rPr>
          <w:rFonts w:ascii="Times New Roman" w:hAnsi="Times New Roman"/>
          <w:color w:val="000000"/>
          <w:sz w:val="28"/>
          <w:szCs w:val="28"/>
          <w:lang w:val="uk-UA"/>
        </w:rPr>
        <w:t>відно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Pr="00B523FE">
        <w:rPr>
          <w:rFonts w:ascii="Times New Roman" w:hAnsi="Times New Roman"/>
          <w:sz w:val="28"/>
          <w:lang w:val="uk-UA"/>
        </w:rPr>
        <w:t xml:space="preserve">Середній показник T-критерію для чоловіків м. Дніпро становив                       -2,44±0,241, що </w:t>
      </w:r>
      <w:r>
        <w:rPr>
          <w:rFonts w:ascii="Times New Roman" w:hAnsi="Times New Roman"/>
          <w:sz w:val="28"/>
          <w:lang w:val="uk-UA"/>
        </w:rPr>
        <w:t>в</w:t>
      </w:r>
      <w:r w:rsidRPr="00B523FE">
        <w:rPr>
          <w:rFonts w:ascii="Times New Roman" w:hAnsi="Times New Roman"/>
          <w:sz w:val="28"/>
          <w:lang w:val="uk-UA"/>
        </w:rPr>
        <w:t xml:space="preserve"> 4,6 раз</w:t>
      </w:r>
      <w:r>
        <w:rPr>
          <w:rFonts w:ascii="Times New Roman" w:hAnsi="Times New Roman"/>
          <w:sz w:val="28"/>
          <w:lang w:val="uk-UA"/>
        </w:rPr>
        <w:t>у</w:t>
      </w:r>
      <w:r w:rsidRPr="00B523FE">
        <w:rPr>
          <w:rFonts w:ascii="Times New Roman" w:hAnsi="Times New Roman"/>
          <w:sz w:val="28"/>
          <w:lang w:val="uk-UA"/>
        </w:rPr>
        <w:t xml:space="preserve"> (p&lt;0,01) нижче порівняно з чоловіками контрольної території (-0,53±0,427), показник яких знаходиться в межах норми. У чоловічого населення м. Дніпро величина T-критерію 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в 1,39 </w:t>
      </w:r>
      <w:proofErr w:type="spellStart"/>
      <w:r w:rsidRPr="00B523FE">
        <w:rPr>
          <w:rFonts w:ascii="Times New Roman" w:hAnsi="Times New Roman"/>
          <w:sz w:val="28"/>
          <w:szCs w:val="28"/>
          <w:lang w:val="uk-UA"/>
        </w:rPr>
        <w:t>раз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lang w:val="uk-UA"/>
        </w:rPr>
        <w:t>нижче</w:t>
      </w:r>
      <w:proofErr w:type="spellEnd"/>
      <w:r w:rsidRPr="00B523FE">
        <w:rPr>
          <w:rFonts w:ascii="Times New Roman" w:hAnsi="Times New Roman"/>
          <w:sz w:val="28"/>
          <w:lang w:val="uk-UA"/>
        </w:rPr>
        <w:t xml:space="preserve"> порівняно </w:t>
      </w:r>
      <w:r>
        <w:rPr>
          <w:rFonts w:ascii="Times New Roman" w:hAnsi="Times New Roman"/>
          <w:sz w:val="28"/>
          <w:lang w:val="uk-UA"/>
        </w:rPr>
        <w:t>і</w:t>
      </w:r>
      <w:r w:rsidRPr="00B523FE">
        <w:rPr>
          <w:rFonts w:ascii="Times New Roman" w:hAnsi="Times New Roman"/>
          <w:sz w:val="28"/>
          <w:lang w:val="uk-UA"/>
        </w:rPr>
        <w:t xml:space="preserve">з середнім його рівнем (-1,75) 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серед чоловіків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Україні.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23FE">
        <w:rPr>
          <w:rFonts w:ascii="Times New Roman" w:hAnsi="Times New Roman"/>
          <w:sz w:val="28"/>
          <w:lang w:val="uk-UA"/>
        </w:rPr>
        <w:t xml:space="preserve">Відповідно </w:t>
      </w:r>
      <w:r>
        <w:rPr>
          <w:rFonts w:ascii="Times New Roman" w:hAnsi="Times New Roman"/>
          <w:sz w:val="28"/>
          <w:lang w:val="uk-UA"/>
        </w:rPr>
        <w:t xml:space="preserve">до </w:t>
      </w:r>
      <w:r w:rsidRPr="00B523FE">
        <w:rPr>
          <w:rFonts w:ascii="Times New Roman" w:hAnsi="Times New Roman"/>
          <w:sz w:val="28"/>
          <w:lang w:val="uk-UA"/>
        </w:rPr>
        <w:t>отриманих</w:t>
      </w:r>
      <w:r>
        <w:rPr>
          <w:rFonts w:ascii="Times New Roman" w:hAnsi="Times New Roman"/>
          <w:sz w:val="28"/>
          <w:lang w:val="uk-UA"/>
        </w:rPr>
        <w:t xml:space="preserve"> автором даних,</w:t>
      </w:r>
      <w:r w:rsidRPr="00B523FE">
        <w:rPr>
          <w:rFonts w:ascii="Times New Roman" w:hAnsi="Times New Roman"/>
          <w:sz w:val="28"/>
          <w:lang w:val="uk-UA"/>
        </w:rPr>
        <w:t xml:space="preserve"> серед жінок м. Дніпро T-критерій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523FE">
        <w:rPr>
          <w:rFonts w:ascii="Times New Roman" w:hAnsi="Times New Roman"/>
          <w:sz w:val="28"/>
          <w:szCs w:val="28"/>
          <w:lang w:val="uk-UA"/>
        </w:rPr>
        <w:t xml:space="preserve"> 4,21 раз</w:t>
      </w:r>
      <w:r>
        <w:rPr>
          <w:rFonts w:ascii="Times New Roman" w:hAnsi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/>
          <w:sz w:val="28"/>
          <w:lang w:val="uk-UA"/>
        </w:rPr>
        <w:t>нижче</w:t>
      </w:r>
      <w:r w:rsidRPr="00B523FE">
        <w:rPr>
          <w:rFonts w:ascii="Times New Roman" w:hAnsi="Times New Roman"/>
          <w:sz w:val="28"/>
          <w:lang w:val="uk-UA"/>
        </w:rPr>
        <w:t xml:space="preserve"> порівняно </w:t>
      </w:r>
      <w:r>
        <w:rPr>
          <w:rFonts w:ascii="Times New Roman" w:hAnsi="Times New Roman"/>
          <w:sz w:val="28"/>
          <w:lang w:val="uk-UA"/>
        </w:rPr>
        <w:t>і</w:t>
      </w:r>
      <w:r w:rsidRPr="00B523FE">
        <w:rPr>
          <w:rFonts w:ascii="Times New Roman" w:hAnsi="Times New Roman"/>
          <w:sz w:val="28"/>
          <w:lang w:val="uk-UA"/>
        </w:rPr>
        <w:t xml:space="preserve">з </w:t>
      </w:r>
      <w:r>
        <w:rPr>
          <w:rFonts w:ascii="Times New Roman" w:hAnsi="Times New Roman"/>
          <w:sz w:val="28"/>
          <w:lang w:val="uk-UA"/>
        </w:rPr>
        <w:t>середньо національним</w:t>
      </w:r>
      <w:r w:rsidRPr="00B523FE">
        <w:rPr>
          <w:rFonts w:ascii="Times New Roman" w:hAnsi="Times New Roman"/>
          <w:sz w:val="28"/>
          <w:lang w:val="uk-UA"/>
        </w:rPr>
        <w:t xml:space="preserve"> рівнем (-0,47)</w:t>
      </w:r>
      <w:r>
        <w:rPr>
          <w:rFonts w:ascii="Times New Roman" w:hAnsi="Times New Roman"/>
          <w:sz w:val="28"/>
          <w:lang w:val="uk-UA"/>
        </w:rPr>
        <w:t>.</w:t>
      </w:r>
    </w:p>
    <w:p w:rsidR="00386678" w:rsidRPr="00547E71" w:rsidRDefault="00386678" w:rsidP="00547E71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47E71">
        <w:rPr>
          <w:rFonts w:ascii="Times New Roman" w:hAnsi="Times New Roman"/>
          <w:sz w:val="28"/>
          <w:lang w:val="uk-UA"/>
        </w:rPr>
        <w:t xml:space="preserve">Серед висновків, що витікають з результатів, </w:t>
      </w:r>
      <w:r>
        <w:rPr>
          <w:rFonts w:ascii="Times New Roman" w:hAnsi="Times New Roman"/>
          <w:sz w:val="28"/>
          <w:lang w:val="uk-UA"/>
        </w:rPr>
        <w:t>представлен</w:t>
      </w:r>
      <w:r w:rsidRPr="00547E71">
        <w:rPr>
          <w:rFonts w:ascii="Times New Roman" w:hAnsi="Times New Roman"/>
          <w:sz w:val="28"/>
          <w:lang w:val="uk-UA"/>
        </w:rPr>
        <w:t>их в даному розділі</w:t>
      </w:r>
      <w:r>
        <w:rPr>
          <w:rFonts w:ascii="Times New Roman" w:hAnsi="Times New Roman"/>
          <w:sz w:val="28"/>
          <w:lang w:val="uk-UA"/>
        </w:rPr>
        <w:t>,</w:t>
      </w:r>
      <w:r w:rsidRPr="00547E71">
        <w:rPr>
          <w:rFonts w:ascii="Times New Roman" w:hAnsi="Times New Roman"/>
          <w:sz w:val="28"/>
          <w:lang w:val="uk-UA"/>
        </w:rPr>
        <w:t xml:space="preserve"> слід виділити </w:t>
      </w:r>
      <w:r w:rsidRPr="00547E71">
        <w:rPr>
          <w:rFonts w:ascii="Times New Roman" w:hAnsi="Times New Roman"/>
          <w:sz w:val="28"/>
          <w:szCs w:val="28"/>
          <w:lang w:val="uk-UA"/>
        </w:rPr>
        <w:t xml:space="preserve">факт зростання кількості випадків </w:t>
      </w:r>
      <w:proofErr w:type="spellStart"/>
      <w:r w:rsidRPr="00547E71">
        <w:rPr>
          <w:rFonts w:ascii="Times New Roman" w:hAnsi="Times New Roman"/>
          <w:sz w:val="28"/>
          <w:szCs w:val="28"/>
          <w:lang w:val="uk-UA"/>
        </w:rPr>
        <w:t>остеопенії</w:t>
      </w:r>
      <w:proofErr w:type="spellEnd"/>
      <w:r w:rsidRPr="00547E71">
        <w:rPr>
          <w:rFonts w:ascii="Times New Roman" w:hAnsi="Times New Roman"/>
          <w:sz w:val="28"/>
          <w:szCs w:val="28"/>
          <w:lang w:val="uk-UA"/>
        </w:rPr>
        <w:t xml:space="preserve"> від 5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547E71">
        <w:rPr>
          <w:rFonts w:ascii="Times New Roman" w:hAnsi="Times New Roman"/>
          <w:sz w:val="28"/>
          <w:szCs w:val="28"/>
          <w:lang w:val="uk-UA"/>
        </w:rPr>
        <w:t>49% до 51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547E71">
        <w:rPr>
          <w:rFonts w:ascii="Times New Roman" w:hAnsi="Times New Roman"/>
          <w:sz w:val="28"/>
          <w:szCs w:val="28"/>
          <w:lang w:val="uk-UA"/>
        </w:rPr>
        <w:t xml:space="preserve">75%, що кореспондується з ознаками </w:t>
      </w:r>
      <w:proofErr w:type="spellStart"/>
      <w:r w:rsidRPr="00547E71">
        <w:rPr>
          <w:rFonts w:ascii="Times New Roman" w:hAnsi="Times New Roman"/>
          <w:sz w:val="28"/>
          <w:szCs w:val="28"/>
          <w:lang w:val="uk-UA"/>
        </w:rPr>
        <w:t>дизмікроелементозу</w:t>
      </w:r>
      <w:proofErr w:type="spellEnd"/>
      <w:r w:rsidRPr="00547E71">
        <w:rPr>
          <w:rFonts w:ascii="Times New Roman" w:hAnsi="Times New Roman"/>
          <w:sz w:val="28"/>
          <w:szCs w:val="28"/>
          <w:lang w:val="uk-UA"/>
        </w:rPr>
        <w:t xml:space="preserve"> у обстежених контингентів.</w:t>
      </w:r>
      <w:r>
        <w:rPr>
          <w:rFonts w:ascii="Times New Roman" w:hAnsi="Times New Roman"/>
          <w:sz w:val="28"/>
          <w:szCs w:val="28"/>
          <w:lang w:val="uk-UA"/>
        </w:rPr>
        <w:t xml:space="preserve"> Зокрема, к</w:t>
      </w:r>
      <w:r w:rsidRPr="00547E71">
        <w:rPr>
          <w:rFonts w:ascii="Times New Roman" w:hAnsi="Times New Roman"/>
          <w:sz w:val="28"/>
          <w:szCs w:val="28"/>
          <w:lang w:val="uk-UA"/>
        </w:rPr>
        <w:t xml:space="preserve">ореляційний аналіз виявив різноспрямовані взаємозв’язки поширеності </w:t>
      </w:r>
      <w:proofErr w:type="spellStart"/>
      <w:r w:rsidRPr="00547E71">
        <w:rPr>
          <w:rFonts w:ascii="Times New Roman" w:hAnsi="Times New Roman"/>
          <w:sz w:val="28"/>
          <w:szCs w:val="28"/>
          <w:lang w:val="uk-UA"/>
        </w:rPr>
        <w:t>остеопенії</w:t>
      </w:r>
      <w:proofErr w:type="spellEnd"/>
      <w:r w:rsidRPr="00547E71">
        <w:rPr>
          <w:rFonts w:ascii="Times New Roman" w:hAnsi="Times New Roman"/>
          <w:sz w:val="28"/>
          <w:szCs w:val="28"/>
          <w:lang w:val="uk-UA"/>
        </w:rPr>
        <w:t xml:space="preserve"> із вмістом </w:t>
      </w:r>
      <w:proofErr w:type="spellStart"/>
      <w:r w:rsidRPr="00547E71">
        <w:rPr>
          <w:rFonts w:ascii="Times New Roman" w:hAnsi="Times New Roman"/>
          <w:sz w:val="28"/>
          <w:szCs w:val="28"/>
          <w:lang w:val="uk-UA"/>
        </w:rPr>
        <w:t>остеоасоційованих</w:t>
      </w:r>
      <w:proofErr w:type="spellEnd"/>
      <w:r w:rsidRPr="00547E71">
        <w:rPr>
          <w:rFonts w:ascii="Times New Roman" w:hAnsi="Times New Roman"/>
          <w:sz w:val="28"/>
          <w:szCs w:val="28"/>
          <w:lang w:val="uk-UA"/>
        </w:rPr>
        <w:t xml:space="preserve"> мікроелементів (цинк та мідь) у місцевих продуктах харчування</w:t>
      </w:r>
      <w:r w:rsidRPr="00547E71">
        <w:rPr>
          <w:rFonts w:ascii="Times New Roman" w:hAnsi="Times New Roman"/>
          <w:sz w:val="28"/>
          <w:lang w:val="uk-UA"/>
        </w:rPr>
        <w:t xml:space="preserve"> в межах </w:t>
      </w:r>
      <w:proofErr w:type="spellStart"/>
      <w:r w:rsidRPr="00547E71">
        <w:rPr>
          <w:rFonts w:ascii="Times New Roman" w:hAnsi="Times New Roman"/>
          <w:sz w:val="28"/>
        </w:rPr>
        <w:t>r</w:t>
      </w:r>
      <w:proofErr w:type="spellEnd"/>
      <w:r w:rsidRPr="00547E71">
        <w:rPr>
          <w:rFonts w:ascii="Times New Roman" w:hAnsi="Times New Roman"/>
          <w:sz w:val="28"/>
          <w:lang w:val="uk-UA"/>
        </w:rPr>
        <w:t>= -0,3 – -0,78 (р&lt;0,01).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E95199">
        <w:rPr>
          <w:rFonts w:ascii="Times New Roman" w:hAnsi="Times New Roman"/>
          <w:sz w:val="28"/>
          <w:lang w:val="uk-UA"/>
        </w:rPr>
        <w:t>А</w:t>
      </w:r>
      <w:r>
        <w:rPr>
          <w:rFonts w:ascii="Times New Roman" w:hAnsi="Times New Roman"/>
          <w:sz w:val="28"/>
          <w:lang w:val="uk-UA"/>
        </w:rPr>
        <w:t>нтропогенне</w:t>
      </w:r>
      <w:r w:rsidRPr="00E95199">
        <w:rPr>
          <w:rFonts w:ascii="Times New Roman" w:hAnsi="Times New Roman"/>
          <w:sz w:val="28"/>
          <w:lang w:val="uk-UA"/>
        </w:rPr>
        <w:t xml:space="preserve"> навантаження на організм, особливо на кісткову тканину мешканців промислової території, порушу</w:t>
      </w:r>
      <w:r>
        <w:rPr>
          <w:rFonts w:ascii="Times New Roman" w:hAnsi="Times New Roman"/>
          <w:sz w:val="28"/>
          <w:lang w:val="uk-UA"/>
        </w:rPr>
        <w:t>є</w:t>
      </w:r>
      <w:r w:rsidRPr="00E95199">
        <w:rPr>
          <w:rFonts w:ascii="Times New Roman" w:hAnsi="Times New Roman"/>
          <w:sz w:val="28"/>
          <w:lang w:val="uk-UA"/>
        </w:rPr>
        <w:t xml:space="preserve"> процеси кісткового </w:t>
      </w:r>
      <w:proofErr w:type="spellStart"/>
      <w:r>
        <w:rPr>
          <w:rFonts w:ascii="Times New Roman" w:hAnsi="Times New Roman"/>
          <w:sz w:val="28"/>
          <w:lang w:val="uk-UA"/>
        </w:rPr>
        <w:t>ремоделювання</w:t>
      </w:r>
      <w:proofErr w:type="spellEnd"/>
      <w:r>
        <w:rPr>
          <w:rFonts w:ascii="Times New Roman" w:hAnsi="Times New Roman"/>
          <w:sz w:val="28"/>
          <w:lang w:val="uk-UA"/>
        </w:rPr>
        <w:t xml:space="preserve"> і</w:t>
      </w:r>
      <w:r w:rsidRPr="00E95199">
        <w:rPr>
          <w:rFonts w:ascii="Times New Roman" w:hAnsi="Times New Roman"/>
          <w:sz w:val="28"/>
          <w:lang w:val="uk-UA"/>
        </w:rPr>
        <w:t xml:space="preserve"> сприяє розвитку </w:t>
      </w:r>
      <w:proofErr w:type="spellStart"/>
      <w:r w:rsidRPr="00E95199">
        <w:rPr>
          <w:rFonts w:ascii="Times New Roman" w:hAnsi="Times New Roman"/>
          <w:sz w:val="28"/>
          <w:lang w:val="uk-UA"/>
        </w:rPr>
        <w:t>остеопенії</w:t>
      </w:r>
      <w:proofErr w:type="spellEnd"/>
      <w:r>
        <w:rPr>
          <w:rFonts w:ascii="Times New Roman" w:hAnsi="Times New Roman"/>
          <w:sz w:val="28"/>
          <w:lang w:val="uk-UA"/>
        </w:rPr>
        <w:t>, яка пов</w:t>
      </w:r>
      <w:r w:rsidRPr="00184260">
        <w:rPr>
          <w:rFonts w:ascii="Times New Roman" w:hAnsi="Times New Roman"/>
          <w:sz w:val="28"/>
          <w:lang w:val="uk-UA"/>
        </w:rPr>
        <w:t>’</w:t>
      </w:r>
      <w:r>
        <w:rPr>
          <w:rFonts w:ascii="Times New Roman" w:hAnsi="Times New Roman"/>
          <w:sz w:val="28"/>
          <w:lang w:val="uk-UA"/>
        </w:rPr>
        <w:t xml:space="preserve">язана, як правило, перш за все, з первинним або вторинним </w:t>
      </w:r>
      <w:proofErr w:type="spellStart"/>
      <w:r>
        <w:rPr>
          <w:rFonts w:ascii="Times New Roman" w:hAnsi="Times New Roman"/>
          <w:sz w:val="28"/>
          <w:lang w:val="uk-UA"/>
        </w:rPr>
        <w:t>дизмікроелементозом</w:t>
      </w:r>
      <w:proofErr w:type="spellEnd"/>
      <w:r>
        <w:rPr>
          <w:rFonts w:ascii="Times New Roman" w:hAnsi="Times New Roman"/>
          <w:sz w:val="28"/>
          <w:lang w:val="uk-UA"/>
        </w:rPr>
        <w:t>.</w:t>
      </w:r>
      <w:r>
        <w:rPr>
          <w:rFonts w:ascii="Times New Roman" w:hAnsi="Times New Roman"/>
          <w:sz w:val="28"/>
          <w:lang w:val="uk-UA"/>
        </w:rPr>
        <w:tab/>
      </w:r>
    </w:p>
    <w:p w:rsidR="00386678" w:rsidRDefault="00386678" w:rsidP="004D721F">
      <w:pPr>
        <w:tabs>
          <w:tab w:val="left" w:pos="4111"/>
        </w:tabs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86678" w:rsidRDefault="00386678" w:rsidP="004D721F">
      <w:pPr>
        <w:tabs>
          <w:tab w:val="left" w:pos="4111"/>
        </w:tabs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067B9">
        <w:rPr>
          <w:rFonts w:ascii="Times New Roman" w:hAnsi="Times New Roman"/>
          <w:b/>
          <w:sz w:val="28"/>
          <w:szCs w:val="28"/>
          <w:lang w:val="uk-UA"/>
        </w:rPr>
        <w:t>У розділі 7</w:t>
      </w:r>
      <w:r w:rsidRPr="00D067B9">
        <w:rPr>
          <w:rFonts w:ascii="Times New Roman" w:hAnsi="Times New Roman"/>
          <w:sz w:val="28"/>
          <w:szCs w:val="28"/>
          <w:lang w:val="uk-UA"/>
        </w:rPr>
        <w:t xml:space="preserve"> автор проводить обґрунтування </w:t>
      </w:r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>систем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и </w:t>
      </w:r>
      <w:proofErr w:type="spellStart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>здоров’язберігаючих</w:t>
      </w:r>
      <w:proofErr w:type="spellEnd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 заходів – концепці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ї </w:t>
      </w:r>
      <w:proofErr w:type="spellStart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>корпораційної</w:t>
      </w:r>
      <w:proofErr w:type="spellEnd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 клініко-гігієнічної моделі виявлення ризику розвитку </w:t>
      </w:r>
      <w:proofErr w:type="spellStart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>остеопатій</w:t>
      </w:r>
      <w:proofErr w:type="spellEnd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 та їх профілактики у мешканців </w:t>
      </w:r>
      <w:proofErr w:type="spellStart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>антропогенно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навантаженої території на основі </w:t>
      </w:r>
      <w:proofErr w:type="spellStart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>імовірнісно-ентропійного</w:t>
      </w:r>
      <w:proofErr w:type="spellEnd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 підходу </w:t>
      </w:r>
      <w:r w:rsidRPr="00D067B9">
        <w:rPr>
          <w:rFonts w:ascii="Times New Roman" w:hAnsi="Times New Roman"/>
          <w:sz w:val="28"/>
          <w:szCs w:val="28"/>
          <w:lang w:val="uk-UA"/>
        </w:rPr>
        <w:t>і  наголошує аліментарну корекцію мінерального статусу організму як ефективний метод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67B9">
        <w:rPr>
          <w:rFonts w:ascii="Times New Roman" w:hAnsi="Times New Roman"/>
          <w:sz w:val="28"/>
          <w:szCs w:val="28"/>
          <w:lang w:val="uk-UA"/>
        </w:rPr>
        <w:t xml:space="preserve">в запропонованій системі. </w:t>
      </w:r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Моніторинг </w:t>
      </w:r>
      <w:proofErr w:type="spellStart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>макро-</w:t>
      </w:r>
      <w:proofErr w:type="spellEnd"/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 та мікроелементного статусу людини включає оцінку стану кістково-м’яз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D067B9">
        <w:rPr>
          <w:rFonts w:ascii="Times New Roman" w:hAnsi="Times New Roman"/>
          <w:color w:val="000000"/>
          <w:sz w:val="28"/>
          <w:szCs w:val="28"/>
          <w:lang w:val="uk-UA"/>
        </w:rPr>
        <w:t xml:space="preserve">вої системи та мінеральної щільності кісткової тканини на основі </w:t>
      </w:r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 xml:space="preserve">епідеміологічного дослідження, клінічного та лабораторного </w:t>
      </w:r>
      <w:proofErr w:type="spellStart"/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>обстеження.У</w:t>
      </w:r>
      <w:proofErr w:type="spellEnd"/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 xml:space="preserve"> цілому встановлення сумарного ризику для розвитку </w:t>
      </w:r>
      <w:proofErr w:type="spellStart"/>
      <w:r w:rsidRPr="00444042"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>ди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>елементозів</w:t>
      </w:r>
      <w:proofErr w:type="spellEnd"/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 xml:space="preserve"> дає можливість управління хімічними ризик-факторами довкілля, а також оптимізації взаємодії організму з навколишнім середовищем для поліпшення стану </w:t>
      </w:r>
      <w:proofErr w:type="spellStart"/>
      <w:r w:rsidRPr="00444042">
        <w:rPr>
          <w:rFonts w:ascii="Times New Roman" w:hAnsi="Times New Roman"/>
          <w:color w:val="000000"/>
          <w:sz w:val="28"/>
          <w:szCs w:val="28"/>
          <w:lang w:val="uk-UA"/>
        </w:rPr>
        <w:t>здоров’янаселення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регіону.</w:t>
      </w:r>
    </w:p>
    <w:p w:rsidR="00386678" w:rsidRDefault="00386678" w:rsidP="004D721F">
      <w:pPr>
        <w:tabs>
          <w:tab w:val="left" w:pos="411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4D721F">
        <w:rPr>
          <w:rFonts w:ascii="Times New Roman" w:hAnsi="Times New Roman"/>
          <w:b/>
          <w:color w:val="000000"/>
          <w:sz w:val="28"/>
          <w:szCs w:val="28"/>
          <w:lang w:val="uk-UA"/>
        </w:rPr>
        <w:t>А</w:t>
      </w:r>
      <w:r w:rsidRPr="00B7264E">
        <w:rPr>
          <w:rFonts w:ascii="Times New Roman" w:hAnsi="Times New Roman"/>
          <w:b/>
          <w:sz w:val="28"/>
          <w:szCs w:val="28"/>
          <w:lang w:val="uk-UA"/>
        </w:rPr>
        <w:t>наліз та узагальнення результатів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D721F"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lang w:val="uk-UA"/>
        </w:rPr>
        <w:t xml:space="preserve"> заключним розділом дисертаційної роботи В.В.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Калінічевої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який побудований на традиційних засадах. Автор справедливо наголошує наявність кризової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екогігієнічної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ситуації в Україні, виділяє найбільш небезпечні регіони промислового навантаження. На прикладі м. Дніпра підтверджує зростання ризику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остеопатій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серед населення і роль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дизмікроелементозу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 їх розвитку.</w:t>
      </w:r>
    </w:p>
    <w:p w:rsidR="00386678" w:rsidRDefault="00386678" w:rsidP="004D721F">
      <w:pPr>
        <w:spacing w:line="360" w:lineRule="auto"/>
        <w:ind w:firstLine="540"/>
        <w:jc w:val="both"/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</w:pPr>
      <w:r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Автором переконливо показано, що м</w:t>
      </w:r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етодичний підхід до розробки профілактичних заходів </w:t>
      </w:r>
      <w:r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повинен </w:t>
      </w:r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ґрунту</w:t>
      </w:r>
      <w:r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ватися</w:t>
      </w:r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 на гармонійному і послідовному поєднанні основних напрямків загальної та індивідуальної профілактики: законодавчо-правовому, технічному і технологічному, санітарно-гігієнічному, </w:t>
      </w:r>
      <w:proofErr w:type="spellStart"/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медико-біологічному</w:t>
      </w:r>
      <w:proofErr w:type="spellEnd"/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, застосування яких у комплексі дозволить знизити екологічно зумовлені ризики розвитку </w:t>
      </w:r>
      <w:proofErr w:type="spellStart"/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остеопатій</w:t>
      </w:r>
      <w:proofErr w:type="spellEnd"/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 у населення екологічно несприятлив</w:t>
      </w:r>
      <w:r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их</w:t>
      </w:r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 територі</w:t>
      </w:r>
      <w:r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й</w:t>
      </w:r>
      <w:r w:rsidRPr="004D721F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.</w:t>
      </w:r>
    </w:p>
    <w:p w:rsidR="00386678" w:rsidRPr="00184260" w:rsidRDefault="00386678" w:rsidP="0041481B">
      <w:pPr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NewRomanPSMT" w:hAnsi="Times New Roman"/>
          <w:sz w:val="28"/>
          <w:szCs w:val="28"/>
          <w:lang w:val="uk-UA"/>
        </w:rPr>
      </w:pPr>
      <w:r w:rsidRPr="00184260">
        <w:rPr>
          <w:rFonts w:ascii="Times New Roman" w:hAnsi="Times New Roman"/>
          <w:b/>
          <w:bCs/>
          <w:sz w:val="28"/>
          <w:szCs w:val="28"/>
          <w:lang w:val="uk-UA"/>
        </w:rPr>
        <w:t>Висновки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у дисертації є цілком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обґрунтованими, вони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логічно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витікають</w:t>
      </w:r>
    </w:p>
    <w:p w:rsidR="00386678" w:rsidRPr="00184260" w:rsidRDefault="00386678" w:rsidP="00466FF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  <w:lang w:val="uk-UA"/>
        </w:rPr>
      </w:pPr>
      <w:r w:rsidRPr="00184260">
        <w:rPr>
          <w:rFonts w:ascii="Times New Roman" w:eastAsia="TimesNewRomanPSMT" w:hAnsi="Times New Roman"/>
          <w:sz w:val="28"/>
          <w:szCs w:val="28"/>
          <w:lang w:val="uk-UA"/>
        </w:rPr>
        <w:lastRenderedPageBreak/>
        <w:t>Із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результатів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проведених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досліджень, їх число (8) відповідає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184260">
        <w:rPr>
          <w:rFonts w:ascii="Times New Roman" w:eastAsia="TimesNewRomanPSMT" w:hAnsi="Times New Roman"/>
          <w:sz w:val="28"/>
          <w:szCs w:val="28"/>
          <w:lang w:val="uk-UA"/>
        </w:rPr>
        <w:t xml:space="preserve">кількості </w:t>
      </w:r>
      <w:proofErr w:type="spellStart"/>
      <w:r w:rsidRPr="00184260">
        <w:rPr>
          <w:rFonts w:ascii="Times New Roman" w:eastAsia="TimesNewRomanPSMT" w:hAnsi="Times New Roman"/>
          <w:sz w:val="28"/>
          <w:szCs w:val="28"/>
          <w:lang w:val="uk-UA"/>
        </w:rPr>
        <w:t>постав-</w:t>
      </w:r>
      <w:proofErr w:type="spellEnd"/>
    </w:p>
    <w:p w:rsidR="00386678" w:rsidRPr="00466FFC" w:rsidRDefault="00386678" w:rsidP="00466FF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466FFC">
        <w:rPr>
          <w:rFonts w:ascii="Times New Roman" w:eastAsia="TimesNewRomanPSMT" w:hAnsi="Times New Roman"/>
          <w:sz w:val="28"/>
          <w:szCs w:val="28"/>
        </w:rPr>
        <w:t>лених</w:t>
      </w:r>
      <w:proofErr w:type="spellEnd"/>
      <w:r w:rsidRPr="00466FFC">
        <w:rPr>
          <w:rFonts w:ascii="Times New Roman" w:eastAsia="TimesNewRomanPSMT" w:hAnsi="Times New Roman"/>
          <w:sz w:val="28"/>
          <w:szCs w:val="28"/>
        </w:rPr>
        <w:t xml:space="preserve"> у </w:t>
      </w:r>
      <w:proofErr w:type="spellStart"/>
      <w:proofErr w:type="gramStart"/>
      <w:r w:rsidRPr="00466FFC">
        <w:rPr>
          <w:rFonts w:ascii="Times New Roman" w:eastAsia="TimesNewRomanPSMT" w:hAnsi="Times New Roman"/>
          <w:sz w:val="28"/>
          <w:szCs w:val="28"/>
        </w:rPr>
        <w:t>досл</w:t>
      </w:r>
      <w:proofErr w:type="gramEnd"/>
      <w:r w:rsidRPr="00466FFC">
        <w:rPr>
          <w:rFonts w:ascii="Times New Roman" w:eastAsia="TimesNewRomanPSMT" w:hAnsi="Times New Roman"/>
          <w:sz w:val="28"/>
          <w:szCs w:val="28"/>
        </w:rPr>
        <w:t>ідженні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466FFC">
        <w:rPr>
          <w:rFonts w:ascii="Times New Roman" w:eastAsia="TimesNewRomanPSMT" w:hAnsi="Times New Roman"/>
          <w:sz w:val="28"/>
          <w:szCs w:val="28"/>
        </w:rPr>
        <w:t>завдань</w:t>
      </w:r>
      <w:proofErr w:type="spellEnd"/>
      <w:r w:rsidRPr="00466FFC">
        <w:rPr>
          <w:rFonts w:ascii="Times New Roman" w:eastAsia="TimesNewRomanPSMT" w:hAnsi="Times New Roman"/>
          <w:sz w:val="28"/>
          <w:szCs w:val="28"/>
        </w:rPr>
        <w:t>.</w:t>
      </w:r>
    </w:p>
    <w:p w:rsidR="00386678" w:rsidRPr="00466FFC" w:rsidRDefault="00386678" w:rsidP="00AB7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Повнота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викладу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основних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дисертації</w:t>
      </w:r>
      <w:proofErr w:type="spellEnd"/>
      <w:r w:rsidRPr="00466FFC">
        <w:rPr>
          <w:rFonts w:ascii="Times New Roman" w:hAnsi="Times New Roman"/>
          <w:b/>
          <w:bCs/>
          <w:sz w:val="28"/>
          <w:szCs w:val="28"/>
        </w:rPr>
        <w:t xml:space="preserve"> в </w:t>
      </w: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наукових</w:t>
      </w:r>
      <w:proofErr w:type="spellEnd"/>
      <w:r w:rsidRPr="00466FF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і</w:t>
      </w:r>
      <w:proofErr w:type="spellEnd"/>
      <w:r w:rsidRPr="00466FF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66FFC">
        <w:rPr>
          <w:rFonts w:ascii="Times New Roman" w:hAnsi="Times New Roman"/>
          <w:b/>
          <w:bCs/>
          <w:sz w:val="28"/>
          <w:szCs w:val="28"/>
        </w:rPr>
        <w:t>фахо</w:t>
      </w:r>
      <w:proofErr w:type="spellEnd"/>
      <w:r w:rsidRPr="00466FFC">
        <w:rPr>
          <w:rFonts w:ascii="Times New Roman" w:hAnsi="Times New Roman"/>
          <w:b/>
          <w:bCs/>
          <w:sz w:val="28"/>
          <w:szCs w:val="28"/>
        </w:rPr>
        <w:t>-</w:t>
      </w:r>
    </w:p>
    <w:p w:rsidR="00386678" w:rsidRPr="00D17225" w:rsidRDefault="00386678" w:rsidP="00AB70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proofErr w:type="spellStart"/>
      <w:r w:rsidRPr="00D17225">
        <w:rPr>
          <w:rFonts w:ascii="Times New Roman" w:hAnsi="Times New Roman"/>
          <w:b/>
          <w:bCs/>
          <w:sz w:val="28"/>
          <w:szCs w:val="28"/>
          <w:lang w:val="uk-UA"/>
        </w:rPr>
        <w:t>вих</w:t>
      </w:r>
      <w:proofErr w:type="spellEnd"/>
      <w:r w:rsidRPr="00D17225">
        <w:rPr>
          <w:rFonts w:ascii="Times New Roman" w:hAnsi="Times New Roman"/>
          <w:b/>
          <w:bCs/>
          <w:sz w:val="28"/>
          <w:szCs w:val="28"/>
          <w:lang w:val="uk-UA"/>
        </w:rPr>
        <w:t xml:space="preserve"> виданнях. </w:t>
      </w:r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За матеріалами дисертації В.В.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Калінічевою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опубліковано 19 наукових робіт, з яких одна одноосібна стаття у фаховому журналі, </w:t>
      </w:r>
      <w:r w:rsidR="006E6087">
        <w:rPr>
          <w:rFonts w:ascii="Times New Roman" w:eastAsia="TimesNewRomanPSMT" w:hAnsi="Times New Roman"/>
          <w:sz w:val="28"/>
          <w:szCs w:val="28"/>
          <w:lang w:val="uk-UA"/>
        </w:rPr>
        <w:t>6</w:t>
      </w:r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– у фахових виданнях України, що входять до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наукометричних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баз, 1 – у фаховому виданні України, що входить до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Web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of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Science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, 12 тез, 1 методичні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рекомен-дації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, 1 свідоцтво про авторське право на твір. </w:t>
      </w:r>
    </w:p>
    <w:p w:rsidR="00386678" w:rsidRPr="00D17225" w:rsidRDefault="00386678" w:rsidP="0067229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/>
          <w:sz w:val="28"/>
          <w:szCs w:val="28"/>
          <w:lang w:val="uk-UA"/>
        </w:rPr>
      </w:pPr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В публікаціях повною мірою відображені результати та основні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положен-</w:t>
      </w:r>
      <w:proofErr w:type="spellEnd"/>
    </w:p>
    <w:p w:rsidR="00386678" w:rsidRPr="00D17225" w:rsidRDefault="00386678" w:rsidP="006722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ня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дисертаційного дослідження. Автореферат дисертації В.В.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Калінічевої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оформлений згідно з вимогами МОН України. Його зміст є ідентичним основним положенням дисертаційної роботи і дає чітке уявлення про проведені автором дослідження, отримані результати, наукові висновки та їх практичне впровадження.</w:t>
      </w:r>
    </w:p>
    <w:p w:rsidR="00386678" w:rsidRPr="00D17225" w:rsidRDefault="00386678" w:rsidP="00AB70D3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NewRomanPSMT" w:hAnsi="Times New Roman"/>
          <w:sz w:val="28"/>
          <w:szCs w:val="28"/>
          <w:lang w:val="uk-UA"/>
        </w:rPr>
      </w:pPr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Під час рецензування роботи В.В. </w:t>
      </w:r>
      <w:proofErr w:type="spellStart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>Калінічевої</w:t>
      </w:r>
      <w:proofErr w:type="spellEnd"/>
      <w:r w:rsidRPr="00D17225">
        <w:rPr>
          <w:rFonts w:ascii="Times New Roman" w:eastAsia="TimesNewRomanPSMT" w:hAnsi="Times New Roman"/>
          <w:sz w:val="28"/>
          <w:szCs w:val="28"/>
          <w:lang w:val="uk-UA"/>
        </w:rPr>
        <w:t xml:space="preserve"> у опонента виникли запитання дискусійного характеру:</w:t>
      </w:r>
    </w:p>
    <w:p w:rsidR="00386678" w:rsidRPr="00D17225" w:rsidRDefault="00386678" w:rsidP="00466FFC">
      <w:pPr>
        <w:spacing w:line="360" w:lineRule="auto"/>
        <w:ind w:firstLine="540"/>
        <w:jc w:val="both"/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</w:pPr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1. В третьому розділі дисертації справедливо зроблено наголос на </w:t>
      </w:r>
      <w:proofErr w:type="spellStart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вітаміно-мінеральному</w:t>
      </w:r>
      <w:proofErr w:type="spellEnd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 взаємозв’язку при вирішенні питання раціонального харчування та, зокрема,  запобігання </w:t>
      </w:r>
      <w:proofErr w:type="spellStart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остеопатій</w:t>
      </w:r>
      <w:proofErr w:type="spellEnd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. Яких вітамінів, за результатами Ваших спостережень, це стосується в першу чергу?</w:t>
      </w:r>
    </w:p>
    <w:p w:rsidR="00386678" w:rsidRPr="00D17225" w:rsidRDefault="00386678" w:rsidP="00466FFC">
      <w:pPr>
        <w:spacing w:line="360" w:lineRule="auto"/>
        <w:ind w:firstLine="540"/>
        <w:jc w:val="both"/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</w:pPr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2. В проведених дослідженнях детально розглянуто питання антагонізму цинку та кадмію в організму. Який механізм, виходячи з позицій сучасної </w:t>
      </w:r>
      <w:proofErr w:type="spellStart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металопротеоміки</w:t>
      </w:r>
      <w:proofErr w:type="spellEnd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, лежить в основі цих взаємовідносин?</w:t>
      </w:r>
    </w:p>
    <w:p w:rsidR="00386678" w:rsidRPr="00D17225" w:rsidRDefault="00386678" w:rsidP="00466FFC">
      <w:pPr>
        <w:spacing w:line="360" w:lineRule="auto"/>
        <w:ind w:firstLine="540"/>
        <w:jc w:val="both"/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</w:pPr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3. Однією з найбільш частих причин </w:t>
      </w:r>
      <w:proofErr w:type="spellStart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остеопатій</w:t>
      </w:r>
      <w:proofErr w:type="spellEnd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 дійсно є дисбаланс мікроелементів в організмі. Які ще чинники можуть призводити до такого роду порушень кісткової тканини або є </w:t>
      </w:r>
      <w:proofErr w:type="spellStart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коморбідними</w:t>
      </w:r>
      <w:proofErr w:type="spellEnd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 факторами в їх патогенезі?</w:t>
      </w:r>
    </w:p>
    <w:p w:rsidR="00386678" w:rsidRPr="00D17225" w:rsidRDefault="00386678" w:rsidP="00466FFC">
      <w:pPr>
        <w:spacing w:line="360" w:lineRule="auto"/>
        <w:ind w:firstLine="540"/>
        <w:jc w:val="both"/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</w:pPr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4. Обумовлені дисбалансом мікроелементів </w:t>
      </w:r>
      <w:proofErr w:type="spellStart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>остеопатії</w:t>
      </w:r>
      <w:proofErr w:type="spellEnd"/>
      <w:r w:rsidRPr="00D17225">
        <w:rPr>
          <w:rStyle w:val="2"/>
          <w:rFonts w:ascii="Times New Roman" w:eastAsia="Calibri" w:hAnsi="Times New Roman"/>
          <w:b w:val="0"/>
          <w:color w:val="000000"/>
          <w:sz w:val="28"/>
          <w:szCs w:val="28"/>
          <w:lang w:eastAsia="uk-UA"/>
        </w:rPr>
        <w:t xml:space="preserve"> практично в рівній мірі притаманні особам чоловічої та жіночої статі. З чим пов’язаний вибір експериментальної моделі у проведених Вами дослідженнях (на самицях)?</w:t>
      </w:r>
    </w:p>
    <w:p w:rsidR="00386678" w:rsidRDefault="003D4447" w:rsidP="00496581">
      <w:pPr>
        <w:spacing w:after="0" w:line="360" w:lineRule="auto"/>
        <w:ind w:firstLine="567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5pt;height:682.75pt">
            <v:imagedata r:id="rId7" o:title=""/>
          </v:shape>
        </w:pict>
      </w:r>
    </w:p>
    <w:p w:rsidR="00386678" w:rsidRPr="000F3EB8" w:rsidRDefault="00386678" w:rsidP="00496581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sectPr w:rsidR="00386678" w:rsidRPr="000F3EB8" w:rsidSect="007434A8">
      <w:headerReference w:type="even" r:id="rId8"/>
      <w:headerReference w:type="default" r:id="rId9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678" w:rsidRDefault="00386678" w:rsidP="00275659">
      <w:pPr>
        <w:spacing w:after="0" w:line="240" w:lineRule="auto"/>
      </w:pPr>
      <w:r>
        <w:separator/>
      </w:r>
    </w:p>
  </w:endnote>
  <w:endnote w:type="continuationSeparator" w:id="0">
    <w:p w:rsidR="00386678" w:rsidRDefault="00386678" w:rsidP="00275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678" w:rsidRDefault="00386678" w:rsidP="00275659">
      <w:pPr>
        <w:spacing w:after="0" w:line="240" w:lineRule="auto"/>
      </w:pPr>
      <w:r>
        <w:separator/>
      </w:r>
    </w:p>
  </w:footnote>
  <w:footnote w:type="continuationSeparator" w:id="0">
    <w:p w:rsidR="00386678" w:rsidRDefault="00386678" w:rsidP="00275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678" w:rsidRDefault="003D4447" w:rsidP="00B93BF1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38667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86678" w:rsidRDefault="0038667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678" w:rsidRDefault="003D4447" w:rsidP="00B93BF1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386678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E6087">
      <w:rPr>
        <w:rStyle w:val="ab"/>
        <w:noProof/>
      </w:rPr>
      <w:t>12</w:t>
    </w:r>
    <w:r>
      <w:rPr>
        <w:rStyle w:val="ab"/>
      </w:rPr>
      <w:fldChar w:fldCharType="end"/>
    </w:r>
  </w:p>
  <w:p w:rsidR="00386678" w:rsidRDefault="00386678">
    <w:pPr>
      <w:pStyle w:val="a7"/>
      <w:jc w:val="center"/>
    </w:pPr>
  </w:p>
  <w:p w:rsidR="00386678" w:rsidRDefault="0038667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35E"/>
    <w:multiLevelType w:val="hybridMultilevel"/>
    <w:tmpl w:val="1486C5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4754C9"/>
    <w:multiLevelType w:val="hybridMultilevel"/>
    <w:tmpl w:val="7E18F7F2"/>
    <w:lvl w:ilvl="0" w:tplc="BDFCE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60FB6"/>
    <w:multiLevelType w:val="hybridMultilevel"/>
    <w:tmpl w:val="D3588F68"/>
    <w:lvl w:ilvl="0" w:tplc="D35CEA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4333D"/>
    <w:multiLevelType w:val="hybridMultilevel"/>
    <w:tmpl w:val="831668D4"/>
    <w:lvl w:ilvl="0" w:tplc="5B3476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06256"/>
    <w:multiLevelType w:val="hybridMultilevel"/>
    <w:tmpl w:val="AF0E576A"/>
    <w:lvl w:ilvl="0" w:tplc="7D4A0958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5">
    <w:nsid w:val="48552306"/>
    <w:multiLevelType w:val="hybridMultilevel"/>
    <w:tmpl w:val="62E6A7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AE44AC9"/>
    <w:multiLevelType w:val="hybridMultilevel"/>
    <w:tmpl w:val="C9E03B6E"/>
    <w:lvl w:ilvl="0" w:tplc="4B02180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7053"/>
    <w:rsid w:val="00014F42"/>
    <w:rsid w:val="000B7053"/>
    <w:rsid w:val="000F1868"/>
    <w:rsid w:val="000F3EB8"/>
    <w:rsid w:val="00115D9C"/>
    <w:rsid w:val="00132C21"/>
    <w:rsid w:val="00152F2C"/>
    <w:rsid w:val="001709E1"/>
    <w:rsid w:val="00184260"/>
    <w:rsid w:val="001B089E"/>
    <w:rsid w:val="0022751F"/>
    <w:rsid w:val="00230E5F"/>
    <w:rsid w:val="00243BD2"/>
    <w:rsid w:val="00275659"/>
    <w:rsid w:val="002A2E19"/>
    <w:rsid w:val="002F2DD5"/>
    <w:rsid w:val="00323AAC"/>
    <w:rsid w:val="00326263"/>
    <w:rsid w:val="003861FA"/>
    <w:rsid w:val="00386678"/>
    <w:rsid w:val="00395920"/>
    <w:rsid w:val="003A0F73"/>
    <w:rsid w:val="003D4447"/>
    <w:rsid w:val="003E3544"/>
    <w:rsid w:val="0041481B"/>
    <w:rsid w:val="00444042"/>
    <w:rsid w:val="00466FFC"/>
    <w:rsid w:val="00496581"/>
    <w:rsid w:val="004C6DD4"/>
    <w:rsid w:val="004D721F"/>
    <w:rsid w:val="00502E22"/>
    <w:rsid w:val="00537DB3"/>
    <w:rsid w:val="00547E71"/>
    <w:rsid w:val="00565FF1"/>
    <w:rsid w:val="00574915"/>
    <w:rsid w:val="00592E58"/>
    <w:rsid w:val="005F6EAD"/>
    <w:rsid w:val="00626AC9"/>
    <w:rsid w:val="00672294"/>
    <w:rsid w:val="006A7B20"/>
    <w:rsid w:val="006E6087"/>
    <w:rsid w:val="00721B75"/>
    <w:rsid w:val="007434A8"/>
    <w:rsid w:val="007A0C98"/>
    <w:rsid w:val="007A3E3E"/>
    <w:rsid w:val="007A60B3"/>
    <w:rsid w:val="007B5155"/>
    <w:rsid w:val="007C63AC"/>
    <w:rsid w:val="007D6CAE"/>
    <w:rsid w:val="007F69E5"/>
    <w:rsid w:val="008027DB"/>
    <w:rsid w:val="008117EE"/>
    <w:rsid w:val="00851897"/>
    <w:rsid w:val="009C7A9C"/>
    <w:rsid w:val="009F015B"/>
    <w:rsid w:val="00A01CB2"/>
    <w:rsid w:val="00A213E8"/>
    <w:rsid w:val="00A3576F"/>
    <w:rsid w:val="00A51EA9"/>
    <w:rsid w:val="00A5381E"/>
    <w:rsid w:val="00A672E6"/>
    <w:rsid w:val="00A67C66"/>
    <w:rsid w:val="00A9307F"/>
    <w:rsid w:val="00AB70D3"/>
    <w:rsid w:val="00AC0A4D"/>
    <w:rsid w:val="00AC6918"/>
    <w:rsid w:val="00B13C2A"/>
    <w:rsid w:val="00B155AA"/>
    <w:rsid w:val="00B523FE"/>
    <w:rsid w:val="00B6520C"/>
    <w:rsid w:val="00B7264E"/>
    <w:rsid w:val="00B93BF1"/>
    <w:rsid w:val="00BF214A"/>
    <w:rsid w:val="00C06646"/>
    <w:rsid w:val="00D067B9"/>
    <w:rsid w:val="00D17225"/>
    <w:rsid w:val="00D37DB7"/>
    <w:rsid w:val="00D60B9B"/>
    <w:rsid w:val="00D63A05"/>
    <w:rsid w:val="00D848E0"/>
    <w:rsid w:val="00DB2192"/>
    <w:rsid w:val="00DB2379"/>
    <w:rsid w:val="00DC428F"/>
    <w:rsid w:val="00DE3F0F"/>
    <w:rsid w:val="00E043E3"/>
    <w:rsid w:val="00E21C2F"/>
    <w:rsid w:val="00E26527"/>
    <w:rsid w:val="00E3253F"/>
    <w:rsid w:val="00E36773"/>
    <w:rsid w:val="00E538B8"/>
    <w:rsid w:val="00E77672"/>
    <w:rsid w:val="00E95199"/>
    <w:rsid w:val="00EF481D"/>
    <w:rsid w:val="00EF5D6D"/>
    <w:rsid w:val="00F15B6C"/>
    <w:rsid w:val="00F2359F"/>
    <w:rsid w:val="00F260AF"/>
    <w:rsid w:val="00F27BCC"/>
    <w:rsid w:val="00F33AB6"/>
    <w:rsid w:val="00F41EC1"/>
    <w:rsid w:val="00FC322E"/>
    <w:rsid w:val="00FC77E9"/>
    <w:rsid w:val="00FE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89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нак Знак1"/>
    <w:uiPriority w:val="99"/>
    <w:rsid w:val="003861FA"/>
    <w:rPr>
      <w:rFonts w:eastAsia="Times New Roman"/>
      <w:sz w:val="27"/>
      <w:lang w:val="uk-UA" w:eastAsia="ru-RU"/>
    </w:rPr>
  </w:style>
  <w:style w:type="character" w:customStyle="1" w:styleId="a3">
    <w:name w:val="Знак Знак"/>
    <w:uiPriority w:val="99"/>
    <w:rsid w:val="00F41EC1"/>
    <w:rPr>
      <w:rFonts w:eastAsia="Times New Roman"/>
      <w:sz w:val="27"/>
      <w:lang w:val="uk-UA" w:eastAsia="ru-RU"/>
    </w:rPr>
  </w:style>
  <w:style w:type="paragraph" w:styleId="HTML">
    <w:name w:val="HTML Preformatted"/>
    <w:basedOn w:val="a"/>
    <w:link w:val="HTML0"/>
    <w:uiPriority w:val="99"/>
    <w:rsid w:val="00DB2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B2379"/>
    <w:rPr>
      <w:rFonts w:ascii="Courier New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DB2379"/>
    <w:pPr>
      <w:ind w:left="720"/>
      <w:contextualSpacing/>
    </w:pPr>
  </w:style>
  <w:style w:type="character" w:customStyle="1" w:styleId="2">
    <w:name w:val="Основной текст + Полужирный2"/>
    <w:uiPriority w:val="99"/>
    <w:rsid w:val="004D721F"/>
    <w:rPr>
      <w:rFonts w:eastAsia="Times New Roman"/>
      <w:b/>
      <w:sz w:val="27"/>
      <w:lang w:val="uk-UA" w:eastAsia="ru-RU"/>
    </w:rPr>
  </w:style>
  <w:style w:type="paragraph" w:styleId="a5">
    <w:name w:val="Balloon Text"/>
    <w:basedOn w:val="a"/>
    <w:link w:val="a6"/>
    <w:uiPriority w:val="99"/>
    <w:semiHidden/>
    <w:rsid w:val="0032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262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27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75659"/>
    <w:rPr>
      <w:rFonts w:cs="Times New Roman"/>
    </w:rPr>
  </w:style>
  <w:style w:type="paragraph" w:styleId="a9">
    <w:name w:val="footer"/>
    <w:basedOn w:val="a"/>
    <w:link w:val="aa"/>
    <w:uiPriority w:val="99"/>
    <w:rsid w:val="0027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75659"/>
    <w:rPr>
      <w:rFonts w:cs="Times New Roman"/>
    </w:rPr>
  </w:style>
  <w:style w:type="character" w:styleId="ab">
    <w:name w:val="page number"/>
    <w:basedOn w:val="a0"/>
    <w:uiPriority w:val="99"/>
    <w:rsid w:val="007434A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13</Pages>
  <Words>14600</Words>
  <Characters>8323</Characters>
  <Application>Microsoft Office Word</Application>
  <DocSecurity>0</DocSecurity>
  <Lines>69</Lines>
  <Paragraphs>45</Paragraphs>
  <ScaleCrop>false</ScaleCrop>
  <Company>DG Win&amp;Soft</Company>
  <LinksUpToDate>false</LinksUpToDate>
  <CharactersWithSpaces>22878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Загальна гігієна</cp:lastModifiedBy>
  <cp:revision>27</cp:revision>
  <dcterms:created xsi:type="dcterms:W3CDTF">2018-09-22T19:45:00Z</dcterms:created>
  <dcterms:modified xsi:type="dcterms:W3CDTF">2018-09-25T12:12:00Z</dcterms:modified>
</cp:coreProperties>
</file>